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9DF2F" w14:textId="77777777" w:rsidR="006C46E7" w:rsidRPr="00A17D2C" w:rsidRDefault="006C46E7" w:rsidP="006C46E7">
      <w:pPr>
        <w:pStyle w:val="NoSpacing"/>
        <w:spacing w:line="276" w:lineRule="auto"/>
        <w:jc w:val="center"/>
        <w:rPr>
          <w:rFonts w:ascii="Avenir Next LT Pro" w:hAnsi="Avenir Next LT Pro"/>
          <w:sz w:val="20"/>
          <w:szCs w:val="20"/>
        </w:rPr>
      </w:pPr>
      <w:r w:rsidRPr="00A17D2C">
        <w:rPr>
          <w:rFonts w:ascii="Avenir Next LT Pro" w:hAnsi="Avenir Next LT Pro"/>
          <w:sz w:val="20"/>
          <w:szCs w:val="20"/>
        </w:rPr>
        <w:t>Excerpts from the Minutes of the 85th TPAMB Meeting</w:t>
      </w:r>
    </w:p>
    <w:p w14:paraId="6B23CC30" w14:textId="1411307E" w:rsidR="006C46E7" w:rsidRPr="00A17D2C" w:rsidRDefault="006C46E7" w:rsidP="006C46E7">
      <w:pPr>
        <w:pStyle w:val="NoSpacing"/>
        <w:spacing w:line="276" w:lineRule="auto"/>
        <w:jc w:val="center"/>
        <w:rPr>
          <w:rFonts w:ascii="Avenir Next LT Pro" w:hAnsi="Avenir Next LT Pro"/>
          <w:sz w:val="20"/>
          <w:szCs w:val="20"/>
        </w:rPr>
      </w:pPr>
      <w:r w:rsidRPr="00A17D2C">
        <w:rPr>
          <w:rFonts w:ascii="Avenir Next LT Pro" w:hAnsi="Avenir Next LT Pro"/>
          <w:sz w:val="20"/>
          <w:szCs w:val="20"/>
        </w:rPr>
        <w:t xml:space="preserve">Zoom ID:  </w:t>
      </w:r>
      <w:r w:rsidR="003C72F3" w:rsidRPr="003C72F3">
        <w:rPr>
          <w:rFonts w:ascii="Avenir Next LT Pro" w:hAnsi="Avenir Next LT Pro"/>
          <w:sz w:val="20"/>
          <w:szCs w:val="20"/>
        </w:rPr>
        <w:t>822 4319 2936</w:t>
      </w:r>
    </w:p>
    <w:p w14:paraId="575D3D87" w14:textId="10A3BE40" w:rsidR="006C46E7" w:rsidRPr="00A17D2C" w:rsidRDefault="003C72F3" w:rsidP="006C46E7">
      <w:pPr>
        <w:pStyle w:val="NoSpacing"/>
        <w:spacing w:line="276" w:lineRule="auto"/>
        <w:jc w:val="center"/>
        <w:rPr>
          <w:rFonts w:ascii="Avenir Next LT Pro" w:hAnsi="Avenir Next LT Pro"/>
          <w:sz w:val="20"/>
          <w:szCs w:val="20"/>
        </w:rPr>
      </w:pPr>
      <w:r>
        <w:rPr>
          <w:rFonts w:ascii="Avenir Next LT Pro" w:hAnsi="Avenir Next LT Pro"/>
          <w:sz w:val="20"/>
          <w:szCs w:val="20"/>
        </w:rPr>
        <w:t>30 July</w:t>
      </w:r>
      <w:r w:rsidR="006C46E7" w:rsidRPr="00A17D2C">
        <w:rPr>
          <w:rFonts w:ascii="Avenir Next LT Pro" w:hAnsi="Avenir Next LT Pro"/>
          <w:sz w:val="20"/>
          <w:szCs w:val="20"/>
        </w:rPr>
        <w:t xml:space="preserve"> 2021</w:t>
      </w:r>
    </w:p>
    <w:p w14:paraId="2F0E5A0E" w14:textId="77777777" w:rsidR="006C46E7" w:rsidRPr="00A17D2C" w:rsidRDefault="006C46E7" w:rsidP="006C46E7">
      <w:pPr>
        <w:pStyle w:val="NoSpacing"/>
        <w:spacing w:line="276" w:lineRule="auto"/>
        <w:rPr>
          <w:rFonts w:ascii="Avenir Next LT Pro" w:hAnsi="Avenir Next LT Pro"/>
          <w:sz w:val="20"/>
          <w:szCs w:val="20"/>
        </w:rPr>
      </w:pPr>
    </w:p>
    <w:p w14:paraId="54A1A825" w14:textId="77777777" w:rsidR="006C46E7" w:rsidRPr="00A17D2C" w:rsidRDefault="006C46E7" w:rsidP="006C46E7">
      <w:pPr>
        <w:pStyle w:val="NoSpacing"/>
        <w:spacing w:line="276" w:lineRule="auto"/>
        <w:rPr>
          <w:rFonts w:ascii="Avenir Next LT Pro" w:hAnsi="Avenir Next LT Pro"/>
          <w:sz w:val="20"/>
          <w:szCs w:val="20"/>
        </w:rPr>
      </w:pPr>
    </w:p>
    <w:p w14:paraId="58BC8435" w14:textId="77777777" w:rsidR="006C46E7" w:rsidRPr="00A17D2C" w:rsidRDefault="006C46E7" w:rsidP="006C46E7">
      <w:pPr>
        <w:pStyle w:val="NoSpacing"/>
        <w:spacing w:line="276" w:lineRule="auto"/>
        <w:rPr>
          <w:rFonts w:ascii="Avenir Next LT Pro" w:hAnsi="Avenir Next LT Pro"/>
          <w:sz w:val="20"/>
          <w:szCs w:val="20"/>
        </w:rPr>
      </w:pPr>
      <w:r w:rsidRPr="00A17D2C">
        <w:rPr>
          <w:rFonts w:ascii="Avenir Next LT Pro" w:hAnsi="Avenir Next LT Pro"/>
          <w:sz w:val="20"/>
          <w:szCs w:val="20"/>
        </w:rPr>
        <w:t xml:space="preserve">Present: </w:t>
      </w:r>
    </w:p>
    <w:p w14:paraId="5328CD41" w14:textId="77777777" w:rsidR="006C46E7" w:rsidRPr="00A17D2C" w:rsidRDefault="006C46E7" w:rsidP="006C46E7">
      <w:pPr>
        <w:pStyle w:val="NoSpacing"/>
        <w:pBdr>
          <w:bottom w:val="single" w:sz="12" w:space="1" w:color="auto"/>
        </w:pBdr>
        <w:spacing w:line="276" w:lineRule="auto"/>
        <w:rPr>
          <w:rFonts w:ascii="Avenir Next LT Pro" w:hAnsi="Avenir Next LT Pro"/>
          <w:sz w:val="20"/>
          <w:szCs w:val="20"/>
        </w:rPr>
      </w:pPr>
    </w:p>
    <w:p w14:paraId="7F4F82E7" w14:textId="77777777" w:rsidR="006C46E7" w:rsidRPr="00A17D2C" w:rsidRDefault="006C46E7" w:rsidP="006C46E7">
      <w:pPr>
        <w:pStyle w:val="NoSpacing"/>
        <w:spacing w:line="276" w:lineRule="auto"/>
        <w:rPr>
          <w:rFonts w:ascii="Avenir Next LT Pro" w:hAnsi="Avenir Next LT Pro"/>
          <w:sz w:val="20"/>
          <w:szCs w:val="20"/>
        </w:rPr>
      </w:pPr>
    </w:p>
    <w:p w14:paraId="5B62ED64" w14:textId="08EC9877" w:rsidR="006C46E7" w:rsidRPr="00A17D2C" w:rsidRDefault="006C46E7" w:rsidP="006C46E7">
      <w:pPr>
        <w:pStyle w:val="NoSpacing"/>
        <w:spacing w:line="276" w:lineRule="auto"/>
        <w:jc w:val="center"/>
        <w:rPr>
          <w:rFonts w:ascii="Avenir Next LT Pro" w:hAnsi="Avenir Next LT Pro"/>
          <w:b/>
          <w:bCs/>
          <w:sz w:val="20"/>
          <w:szCs w:val="20"/>
        </w:rPr>
      </w:pPr>
      <w:r w:rsidRPr="00A17D2C">
        <w:rPr>
          <w:rFonts w:ascii="Avenir Next LT Pro" w:hAnsi="Avenir Next LT Pro"/>
          <w:b/>
          <w:bCs/>
          <w:sz w:val="20"/>
          <w:szCs w:val="20"/>
        </w:rPr>
        <w:t>TPAMB Resolution No. 21 – 0</w:t>
      </w:r>
      <w:r w:rsidR="008F09C4">
        <w:rPr>
          <w:rFonts w:ascii="Avenir Next LT Pro" w:hAnsi="Avenir Next LT Pro"/>
          <w:b/>
          <w:bCs/>
          <w:sz w:val="20"/>
          <w:szCs w:val="20"/>
        </w:rPr>
        <w:t>7</w:t>
      </w:r>
    </w:p>
    <w:p w14:paraId="7D39FA07" w14:textId="77777777" w:rsidR="006C46E7" w:rsidRPr="00A17D2C" w:rsidRDefault="006C46E7" w:rsidP="006C46E7">
      <w:pPr>
        <w:pStyle w:val="NoSpacing"/>
        <w:spacing w:line="276" w:lineRule="auto"/>
        <w:rPr>
          <w:rFonts w:ascii="Avenir Next LT Pro" w:hAnsi="Avenir Next LT Pro"/>
          <w:sz w:val="20"/>
          <w:szCs w:val="20"/>
        </w:rPr>
      </w:pPr>
    </w:p>
    <w:p w14:paraId="3439E38B" w14:textId="49ED0405" w:rsidR="006C46E7" w:rsidRPr="009C0898" w:rsidRDefault="006C46E7" w:rsidP="009C0898">
      <w:pPr>
        <w:pStyle w:val="NoSpacing"/>
        <w:spacing w:line="276" w:lineRule="auto"/>
        <w:jc w:val="center"/>
        <w:rPr>
          <w:rFonts w:ascii="Avenir Next LT Pro" w:hAnsi="Avenir Next LT Pro"/>
          <w:b/>
          <w:bCs/>
          <w:sz w:val="20"/>
          <w:szCs w:val="20"/>
        </w:rPr>
      </w:pPr>
      <w:r w:rsidRPr="009C0898">
        <w:rPr>
          <w:rFonts w:ascii="Avenir Next LT Pro" w:hAnsi="Avenir Next LT Pro"/>
          <w:b/>
          <w:bCs/>
          <w:sz w:val="20"/>
          <w:szCs w:val="20"/>
        </w:rPr>
        <w:t>‘</w:t>
      </w:r>
      <w:r w:rsidR="009C0898" w:rsidRPr="009C0898">
        <w:rPr>
          <w:rFonts w:ascii="Avenir Next LT Pro" w:hAnsi="Avenir Next LT Pro"/>
          <w:b/>
          <w:bCs/>
          <w:sz w:val="20"/>
          <w:szCs w:val="20"/>
        </w:rPr>
        <w:t>Designating DENR PENRO</w:t>
      </w:r>
      <w:r w:rsidR="00C25D3E">
        <w:rPr>
          <w:rFonts w:ascii="Avenir Next LT Pro" w:hAnsi="Avenir Next LT Pro"/>
          <w:b/>
          <w:bCs/>
          <w:sz w:val="20"/>
          <w:szCs w:val="20"/>
        </w:rPr>
        <w:t>,</w:t>
      </w:r>
      <w:r w:rsidR="009C0898" w:rsidRPr="009C0898">
        <w:rPr>
          <w:rFonts w:ascii="Avenir Next LT Pro" w:hAnsi="Avenir Next LT Pro"/>
          <w:b/>
          <w:bCs/>
          <w:sz w:val="20"/>
          <w:szCs w:val="20"/>
        </w:rPr>
        <w:t xml:space="preserve"> ERIBERTO B. SAÑOS, PCSDS Executive Director, </w:t>
      </w:r>
      <w:bookmarkStart w:id="0" w:name="_Hlk78375558"/>
      <w:r w:rsidR="009C0898" w:rsidRPr="009C0898">
        <w:rPr>
          <w:rFonts w:ascii="Avenir Next LT Pro" w:hAnsi="Avenir Next LT Pro"/>
          <w:b/>
          <w:bCs/>
          <w:sz w:val="20"/>
          <w:szCs w:val="20"/>
        </w:rPr>
        <w:t>ATTY. TEODORO JOSE S. MATTA</w:t>
      </w:r>
      <w:bookmarkEnd w:id="0"/>
      <w:r w:rsidR="009C0898" w:rsidRPr="009C0898">
        <w:rPr>
          <w:rFonts w:ascii="Avenir Next LT Pro" w:hAnsi="Avenir Next LT Pro"/>
          <w:b/>
          <w:bCs/>
          <w:sz w:val="20"/>
          <w:szCs w:val="20"/>
        </w:rPr>
        <w:t xml:space="preserve">, and </w:t>
      </w:r>
      <w:proofErr w:type="spellStart"/>
      <w:r w:rsidR="009C0898" w:rsidRPr="009C0898">
        <w:rPr>
          <w:rFonts w:ascii="Avenir Next LT Pro" w:hAnsi="Avenir Next LT Pro"/>
          <w:b/>
          <w:bCs/>
          <w:sz w:val="20"/>
          <w:szCs w:val="20"/>
        </w:rPr>
        <w:t>Saguda</w:t>
      </w:r>
      <w:proofErr w:type="spellEnd"/>
      <w:r w:rsidR="009C0898" w:rsidRPr="009C0898">
        <w:rPr>
          <w:rFonts w:ascii="Avenir Next LT Pro" w:hAnsi="Avenir Next LT Pro"/>
          <w:b/>
          <w:bCs/>
          <w:sz w:val="20"/>
          <w:szCs w:val="20"/>
        </w:rPr>
        <w:t xml:space="preserve"> Palawan, Inc., Executive Director</w:t>
      </w:r>
      <w:r w:rsidR="00C25D3E">
        <w:rPr>
          <w:rFonts w:ascii="Avenir Next LT Pro" w:hAnsi="Avenir Next LT Pro"/>
          <w:b/>
          <w:bCs/>
          <w:sz w:val="20"/>
          <w:szCs w:val="20"/>
        </w:rPr>
        <w:t>,</w:t>
      </w:r>
      <w:r w:rsidR="009C0898" w:rsidRPr="009C0898">
        <w:rPr>
          <w:rFonts w:ascii="Avenir Next LT Pro" w:hAnsi="Avenir Next LT Pro"/>
          <w:b/>
          <w:bCs/>
          <w:sz w:val="20"/>
          <w:szCs w:val="20"/>
        </w:rPr>
        <w:t xml:space="preserve"> </w:t>
      </w:r>
      <w:bookmarkStart w:id="1" w:name="_Hlk78375613"/>
      <w:r w:rsidR="009C0898" w:rsidRPr="009C0898">
        <w:rPr>
          <w:rFonts w:ascii="Avenir Next LT Pro" w:hAnsi="Avenir Next LT Pro"/>
          <w:b/>
          <w:bCs/>
          <w:sz w:val="20"/>
          <w:szCs w:val="20"/>
        </w:rPr>
        <w:t>ROMEL L. CARBONELL</w:t>
      </w:r>
      <w:bookmarkEnd w:id="1"/>
      <w:r w:rsidR="009C0898" w:rsidRPr="009C0898">
        <w:rPr>
          <w:rFonts w:ascii="Avenir Next LT Pro" w:hAnsi="Avenir Next LT Pro"/>
          <w:b/>
          <w:bCs/>
          <w:sz w:val="20"/>
          <w:szCs w:val="20"/>
        </w:rPr>
        <w:t xml:space="preserve"> as signatories </w:t>
      </w:r>
      <w:r w:rsidR="009C0898">
        <w:rPr>
          <w:rFonts w:ascii="Avenir Next LT Pro" w:hAnsi="Avenir Next LT Pro"/>
          <w:b/>
          <w:bCs/>
          <w:sz w:val="20"/>
          <w:szCs w:val="20"/>
        </w:rPr>
        <w:t>to</w:t>
      </w:r>
      <w:r w:rsidR="009C0898" w:rsidRPr="009C0898">
        <w:rPr>
          <w:rFonts w:ascii="Avenir Next LT Pro" w:hAnsi="Avenir Next LT Pro"/>
          <w:b/>
          <w:bCs/>
          <w:sz w:val="20"/>
          <w:szCs w:val="20"/>
        </w:rPr>
        <w:t xml:space="preserve"> the TRNP Trust Fund</w:t>
      </w:r>
      <w:r w:rsidR="009C0898">
        <w:rPr>
          <w:rFonts w:ascii="Avenir Next LT Pro" w:hAnsi="Avenir Next LT Pro"/>
          <w:b/>
          <w:bCs/>
          <w:sz w:val="20"/>
          <w:szCs w:val="20"/>
        </w:rPr>
        <w:t xml:space="preserve"> Account</w:t>
      </w:r>
      <w:r w:rsidR="009C0898" w:rsidRPr="009C0898">
        <w:rPr>
          <w:rFonts w:ascii="Avenir Next LT Pro" w:hAnsi="Avenir Next LT Pro"/>
          <w:b/>
          <w:bCs/>
          <w:sz w:val="20"/>
          <w:szCs w:val="20"/>
        </w:rPr>
        <w:t>’</w:t>
      </w:r>
    </w:p>
    <w:p w14:paraId="2BDB0EDC" w14:textId="77777777" w:rsidR="006C46E7" w:rsidRPr="00A17D2C" w:rsidRDefault="006C46E7" w:rsidP="006C46E7">
      <w:pPr>
        <w:pStyle w:val="NoSpacing"/>
        <w:spacing w:line="276" w:lineRule="auto"/>
        <w:rPr>
          <w:rFonts w:ascii="Avenir Next LT Pro" w:hAnsi="Avenir Next LT Pro"/>
          <w:sz w:val="20"/>
          <w:szCs w:val="20"/>
        </w:rPr>
      </w:pPr>
    </w:p>
    <w:p w14:paraId="0DD5CCB7" w14:textId="77777777" w:rsidR="006C46E7" w:rsidRPr="00A17D2C"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WHEREAS,</w:t>
      </w:r>
      <w:r w:rsidRPr="00A17D2C">
        <w:rPr>
          <w:rFonts w:ascii="Avenir Next LT Pro" w:hAnsi="Avenir Next LT Pro"/>
          <w:sz w:val="20"/>
          <w:szCs w:val="20"/>
        </w:rPr>
        <w:t xml:space="preserve"> the Tubbataha Reefs Natural Park Act of 2009, also known as Republic Act (RA) No. 10067, which took effect on April 24, 2010, aims to ensure the protection of the globally significant economic and other values of the Tubbataha Reefs;</w:t>
      </w:r>
    </w:p>
    <w:p w14:paraId="5E1B4432" w14:textId="77777777" w:rsidR="006C46E7" w:rsidRPr="00A17D2C" w:rsidRDefault="006C46E7" w:rsidP="006C46E7">
      <w:pPr>
        <w:pStyle w:val="NoSpacing"/>
        <w:spacing w:line="276" w:lineRule="auto"/>
        <w:rPr>
          <w:rFonts w:ascii="Avenir Next LT Pro" w:hAnsi="Avenir Next LT Pro"/>
          <w:sz w:val="20"/>
          <w:szCs w:val="20"/>
        </w:rPr>
      </w:pPr>
    </w:p>
    <w:p w14:paraId="57142973" w14:textId="13A37A58" w:rsidR="006C46E7"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WHEREAS,</w:t>
      </w:r>
      <w:r w:rsidRPr="00A17D2C">
        <w:rPr>
          <w:rFonts w:ascii="Avenir Next LT Pro" w:hAnsi="Avenir Next LT Pro"/>
          <w:sz w:val="20"/>
          <w:szCs w:val="20"/>
        </w:rPr>
        <w:t xml:space="preserve"> the Tubbataha Protected Area Management Board (TPAMB) was established pursuant to Section 10 of RA 10067 to be the sole policy-making and permit-granting body for the Tubbataha;</w:t>
      </w:r>
    </w:p>
    <w:p w14:paraId="019946AF" w14:textId="77777777" w:rsidR="009C0898" w:rsidRPr="00A17D2C" w:rsidRDefault="009C0898" w:rsidP="009C0898">
      <w:pPr>
        <w:pStyle w:val="NoSpacing"/>
        <w:spacing w:line="276" w:lineRule="auto"/>
        <w:ind w:firstLine="720"/>
        <w:rPr>
          <w:rFonts w:ascii="Avenir Next LT Pro" w:hAnsi="Avenir Next LT Pro"/>
          <w:sz w:val="20"/>
          <w:szCs w:val="20"/>
        </w:rPr>
      </w:pPr>
    </w:p>
    <w:p w14:paraId="33EC5F4F" w14:textId="7F491354" w:rsidR="006C46E7"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WHEREAS,</w:t>
      </w:r>
      <w:r w:rsidRPr="00A17D2C">
        <w:rPr>
          <w:rFonts w:ascii="Avenir Next LT Pro" w:hAnsi="Avenir Next LT Pro"/>
          <w:sz w:val="20"/>
          <w:szCs w:val="20"/>
        </w:rPr>
        <w:t xml:space="preserve"> Section 17 of RA 10067 established the TRNP Trust Fund for the purpose of financing the projects of the TRNP;</w:t>
      </w:r>
    </w:p>
    <w:p w14:paraId="3177806B" w14:textId="77777777" w:rsidR="009C0898" w:rsidRPr="00A17D2C" w:rsidRDefault="009C0898" w:rsidP="009C0898">
      <w:pPr>
        <w:pStyle w:val="NoSpacing"/>
        <w:spacing w:line="276" w:lineRule="auto"/>
        <w:ind w:firstLine="720"/>
        <w:rPr>
          <w:rFonts w:ascii="Avenir Next LT Pro" w:hAnsi="Avenir Next LT Pro"/>
          <w:sz w:val="20"/>
          <w:szCs w:val="20"/>
        </w:rPr>
      </w:pPr>
    </w:p>
    <w:p w14:paraId="0E112288" w14:textId="6195CDB7" w:rsidR="006C46E7" w:rsidRDefault="006C46E7" w:rsidP="009C0898">
      <w:pPr>
        <w:pStyle w:val="NoSpacing"/>
        <w:spacing w:line="276" w:lineRule="auto"/>
        <w:ind w:firstLine="720"/>
        <w:rPr>
          <w:rFonts w:ascii="Avenir Next LT Pro" w:hAnsi="Avenir Next LT Pro"/>
          <w:sz w:val="20"/>
          <w:szCs w:val="20"/>
        </w:rPr>
      </w:pPr>
      <w:bookmarkStart w:id="2" w:name="_Hlk78375916"/>
      <w:r w:rsidRPr="009C0898">
        <w:rPr>
          <w:rFonts w:ascii="Avenir Next LT Pro" w:hAnsi="Avenir Next LT Pro"/>
          <w:b/>
          <w:bCs/>
          <w:sz w:val="20"/>
          <w:szCs w:val="20"/>
        </w:rPr>
        <w:t>WHEREAS,</w:t>
      </w:r>
      <w:r w:rsidRPr="00A17D2C">
        <w:rPr>
          <w:rFonts w:ascii="Avenir Next LT Pro" w:hAnsi="Avenir Next LT Pro"/>
          <w:sz w:val="20"/>
          <w:szCs w:val="20"/>
        </w:rPr>
        <w:t xml:space="preserve"> The TPAMB created the </w:t>
      </w:r>
      <w:proofErr w:type="spellStart"/>
      <w:r w:rsidRPr="00A17D2C">
        <w:rPr>
          <w:rFonts w:ascii="Avenir Next LT Pro" w:hAnsi="Avenir Next LT Pro"/>
          <w:sz w:val="20"/>
          <w:szCs w:val="20"/>
        </w:rPr>
        <w:t>Tubbataha</w:t>
      </w:r>
      <w:proofErr w:type="spellEnd"/>
      <w:r w:rsidRPr="00A17D2C">
        <w:rPr>
          <w:rFonts w:ascii="Avenir Next LT Pro" w:hAnsi="Avenir Next LT Pro"/>
          <w:sz w:val="20"/>
          <w:szCs w:val="20"/>
        </w:rPr>
        <w:t xml:space="preserve"> Trust Fund by virtue of TPAMB Resolution No. 03-14 dated November 28, 2003 ‘where all collections from entrance fees and other monies accruing to the Park </w:t>
      </w:r>
      <w:r w:rsidR="008F09C4">
        <w:rPr>
          <w:rFonts w:ascii="Avenir Next LT Pro" w:hAnsi="Avenir Next LT Pro"/>
          <w:sz w:val="20"/>
          <w:szCs w:val="20"/>
        </w:rPr>
        <w:t xml:space="preserve">shall </w:t>
      </w:r>
      <w:r w:rsidRPr="00A17D2C">
        <w:rPr>
          <w:rFonts w:ascii="Avenir Next LT Pro" w:hAnsi="Avenir Next LT Pro"/>
          <w:sz w:val="20"/>
          <w:szCs w:val="20"/>
        </w:rPr>
        <w:t>be deposited and withdrawn in accordance with the purpose for which it was created as defined under the approved management plan’;</w:t>
      </w:r>
    </w:p>
    <w:p w14:paraId="4AA8DE47" w14:textId="77777777" w:rsidR="009C0898" w:rsidRPr="00A17D2C" w:rsidRDefault="009C0898" w:rsidP="009C0898">
      <w:pPr>
        <w:pStyle w:val="NoSpacing"/>
        <w:spacing w:line="276" w:lineRule="auto"/>
        <w:ind w:firstLine="720"/>
        <w:rPr>
          <w:rFonts w:ascii="Avenir Next LT Pro" w:hAnsi="Avenir Next LT Pro"/>
          <w:sz w:val="20"/>
          <w:szCs w:val="20"/>
        </w:rPr>
      </w:pPr>
    </w:p>
    <w:p w14:paraId="42668429" w14:textId="2170CC49" w:rsidR="006C46E7"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WHEREAS,</w:t>
      </w:r>
      <w:r w:rsidRPr="00A17D2C">
        <w:rPr>
          <w:rFonts w:ascii="Avenir Next LT Pro" w:hAnsi="Avenir Next LT Pro"/>
          <w:sz w:val="20"/>
          <w:szCs w:val="20"/>
        </w:rPr>
        <w:t xml:space="preserve"> it is customary practice within the TPAMB to practice multi-stakeholder representation, hence, TPAMB Resolution No. 03-15 of the same date designated representatives of different sectors to serve as signatory to the TRNP Trust Fund, namely: the Executive Director of PCSDS, DENR PENRO, and an NGO representative;</w:t>
      </w:r>
    </w:p>
    <w:p w14:paraId="5B619367" w14:textId="4960B859" w:rsidR="009C0898" w:rsidRPr="00A17D2C" w:rsidRDefault="009C0898" w:rsidP="009C0898">
      <w:pPr>
        <w:pStyle w:val="NoSpacing"/>
        <w:spacing w:line="276" w:lineRule="auto"/>
        <w:ind w:firstLine="720"/>
        <w:rPr>
          <w:rFonts w:ascii="Avenir Next LT Pro" w:hAnsi="Avenir Next LT Pro"/>
          <w:sz w:val="20"/>
          <w:szCs w:val="20"/>
        </w:rPr>
      </w:pPr>
      <w:r>
        <w:rPr>
          <w:rFonts w:ascii="Avenir Next LT Pro" w:hAnsi="Avenir Next LT Pro"/>
          <w:sz w:val="20"/>
          <w:szCs w:val="20"/>
        </w:rPr>
        <w:tab/>
      </w:r>
    </w:p>
    <w:p w14:paraId="71E9010B" w14:textId="7DB9D7A8" w:rsidR="006C46E7"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WHEREAS,</w:t>
      </w:r>
      <w:r w:rsidRPr="00A17D2C">
        <w:rPr>
          <w:rFonts w:ascii="Avenir Next LT Pro" w:hAnsi="Avenir Next LT Pro"/>
          <w:sz w:val="20"/>
          <w:szCs w:val="20"/>
        </w:rPr>
        <w:t xml:space="preserve"> </w:t>
      </w:r>
      <w:r w:rsidR="009C0898">
        <w:rPr>
          <w:rFonts w:ascii="Avenir Next LT Pro" w:hAnsi="Avenir Next LT Pro"/>
          <w:sz w:val="20"/>
          <w:szCs w:val="20"/>
        </w:rPr>
        <w:t xml:space="preserve">new signatories need to be designated because the </w:t>
      </w:r>
      <w:r w:rsidR="008F09C4">
        <w:rPr>
          <w:rFonts w:ascii="Avenir Next LT Pro" w:hAnsi="Avenir Next LT Pro"/>
          <w:sz w:val="20"/>
          <w:szCs w:val="20"/>
        </w:rPr>
        <w:t>current signatories, both from the NGO sector, agreed to perform this function on a temporary basis only</w:t>
      </w:r>
      <w:r w:rsidRPr="00A17D2C">
        <w:rPr>
          <w:rFonts w:ascii="Avenir Next LT Pro" w:hAnsi="Avenir Next LT Pro"/>
          <w:sz w:val="20"/>
          <w:szCs w:val="20"/>
        </w:rPr>
        <w:t>;</w:t>
      </w:r>
    </w:p>
    <w:bookmarkEnd w:id="2"/>
    <w:p w14:paraId="4D4B4D6D" w14:textId="77777777" w:rsidR="009C0898" w:rsidRPr="009C0898" w:rsidRDefault="009C0898" w:rsidP="009C0898">
      <w:pPr>
        <w:pStyle w:val="NoSpacing"/>
        <w:spacing w:line="276" w:lineRule="auto"/>
        <w:ind w:firstLine="720"/>
        <w:rPr>
          <w:rFonts w:ascii="Avenir Next LT Pro" w:hAnsi="Avenir Next LT Pro"/>
          <w:sz w:val="20"/>
          <w:szCs w:val="20"/>
        </w:rPr>
      </w:pPr>
    </w:p>
    <w:p w14:paraId="79BE9AA4" w14:textId="76DC70D1" w:rsidR="009C0898" w:rsidRDefault="009C0898"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NOW THEREFORE,</w:t>
      </w:r>
      <w:r w:rsidRPr="009C0898">
        <w:rPr>
          <w:rFonts w:ascii="Avenir Next LT Pro" w:hAnsi="Avenir Next LT Pro"/>
          <w:sz w:val="20"/>
          <w:szCs w:val="20"/>
        </w:rPr>
        <w:t xml:space="preserve"> be is resolved as it is hereby resolved, that the TPAMB designates, as they are hereby designated, DENR PENRO</w:t>
      </w:r>
      <w:r w:rsidR="008F09C4">
        <w:rPr>
          <w:rFonts w:ascii="Avenir Next LT Pro" w:hAnsi="Avenir Next LT Pro"/>
          <w:sz w:val="20"/>
          <w:szCs w:val="20"/>
        </w:rPr>
        <w:t>,</w:t>
      </w:r>
      <w:r w:rsidRPr="009C0898">
        <w:rPr>
          <w:rFonts w:ascii="Avenir Next LT Pro" w:hAnsi="Avenir Next LT Pro"/>
          <w:sz w:val="20"/>
          <w:szCs w:val="20"/>
        </w:rPr>
        <w:t xml:space="preserve"> </w:t>
      </w:r>
      <w:r w:rsidRPr="008F09C4">
        <w:rPr>
          <w:rFonts w:ascii="Avenir Next LT Pro" w:hAnsi="Avenir Next LT Pro"/>
          <w:b/>
          <w:bCs/>
          <w:sz w:val="20"/>
          <w:szCs w:val="20"/>
        </w:rPr>
        <w:t>ERIBERTO B. SAÑOS</w:t>
      </w:r>
      <w:r w:rsidRPr="009C0898">
        <w:rPr>
          <w:rFonts w:ascii="Avenir Next LT Pro" w:hAnsi="Avenir Next LT Pro"/>
          <w:sz w:val="20"/>
          <w:szCs w:val="20"/>
        </w:rPr>
        <w:t xml:space="preserve">, PCSDS Executive Director, </w:t>
      </w:r>
      <w:r w:rsidRPr="008F09C4">
        <w:rPr>
          <w:rFonts w:ascii="Avenir Next LT Pro" w:hAnsi="Avenir Next LT Pro"/>
          <w:b/>
          <w:bCs/>
          <w:sz w:val="20"/>
          <w:szCs w:val="20"/>
        </w:rPr>
        <w:t>ATTY. TEODORO JOSE S. MATTA</w:t>
      </w:r>
      <w:r w:rsidRPr="009C0898">
        <w:rPr>
          <w:rFonts w:ascii="Avenir Next LT Pro" w:hAnsi="Avenir Next LT Pro"/>
          <w:sz w:val="20"/>
          <w:szCs w:val="20"/>
        </w:rPr>
        <w:t xml:space="preserve">, and </w:t>
      </w:r>
      <w:proofErr w:type="spellStart"/>
      <w:r w:rsidRPr="009C0898">
        <w:rPr>
          <w:rFonts w:ascii="Avenir Next LT Pro" w:hAnsi="Avenir Next LT Pro"/>
          <w:sz w:val="20"/>
          <w:szCs w:val="20"/>
        </w:rPr>
        <w:t>Saguda</w:t>
      </w:r>
      <w:proofErr w:type="spellEnd"/>
      <w:r w:rsidRPr="009C0898">
        <w:rPr>
          <w:rFonts w:ascii="Avenir Next LT Pro" w:hAnsi="Avenir Next LT Pro"/>
          <w:sz w:val="20"/>
          <w:szCs w:val="20"/>
        </w:rPr>
        <w:t xml:space="preserve"> Palawan, Inc., Executive Director</w:t>
      </w:r>
      <w:r w:rsidR="008F09C4">
        <w:rPr>
          <w:rFonts w:ascii="Avenir Next LT Pro" w:hAnsi="Avenir Next LT Pro"/>
          <w:sz w:val="20"/>
          <w:szCs w:val="20"/>
        </w:rPr>
        <w:t>,</w:t>
      </w:r>
      <w:r w:rsidRPr="009C0898">
        <w:rPr>
          <w:rFonts w:ascii="Avenir Next LT Pro" w:hAnsi="Avenir Next LT Pro"/>
          <w:sz w:val="20"/>
          <w:szCs w:val="20"/>
        </w:rPr>
        <w:t xml:space="preserve"> </w:t>
      </w:r>
      <w:r w:rsidRPr="008F09C4">
        <w:rPr>
          <w:rFonts w:ascii="Avenir Next LT Pro" w:hAnsi="Avenir Next LT Pro"/>
          <w:b/>
          <w:bCs/>
          <w:sz w:val="20"/>
          <w:szCs w:val="20"/>
        </w:rPr>
        <w:t>ROMEL L. CARBONELL</w:t>
      </w:r>
      <w:r w:rsidRPr="009C0898">
        <w:rPr>
          <w:rFonts w:ascii="Avenir Next LT Pro" w:hAnsi="Avenir Next LT Pro"/>
          <w:sz w:val="20"/>
          <w:szCs w:val="20"/>
        </w:rPr>
        <w:t xml:space="preserve"> as signatories to the TRNP Trust Fund</w:t>
      </w:r>
      <w:r>
        <w:rPr>
          <w:rFonts w:ascii="Avenir Next LT Pro" w:hAnsi="Avenir Next LT Pro"/>
          <w:sz w:val="20"/>
          <w:szCs w:val="20"/>
        </w:rPr>
        <w:t xml:space="preserve"> account</w:t>
      </w:r>
      <w:r w:rsidRPr="009C0898">
        <w:rPr>
          <w:rFonts w:ascii="Avenir Next LT Pro" w:hAnsi="Avenir Next LT Pro"/>
          <w:sz w:val="20"/>
          <w:szCs w:val="20"/>
        </w:rPr>
        <w:t>;</w:t>
      </w:r>
    </w:p>
    <w:p w14:paraId="64B0173A" w14:textId="5277EF46" w:rsidR="009C0898" w:rsidRDefault="009C0898" w:rsidP="009C0898">
      <w:pPr>
        <w:pStyle w:val="NoSpacing"/>
        <w:spacing w:line="276" w:lineRule="auto"/>
        <w:ind w:firstLine="720"/>
        <w:rPr>
          <w:rFonts w:ascii="Avenir Next LT Pro" w:hAnsi="Avenir Next LT Pro"/>
          <w:sz w:val="20"/>
          <w:szCs w:val="20"/>
        </w:rPr>
      </w:pPr>
    </w:p>
    <w:p w14:paraId="69743C20" w14:textId="35A08C95" w:rsidR="009C0898" w:rsidRDefault="009C0898"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RESOLVED FURTHER,</w:t>
      </w:r>
      <w:r>
        <w:rPr>
          <w:rFonts w:ascii="Avenir Next LT Pro" w:hAnsi="Avenir Next LT Pro"/>
          <w:b/>
          <w:bCs/>
          <w:sz w:val="20"/>
          <w:szCs w:val="20"/>
        </w:rPr>
        <w:t xml:space="preserve"> </w:t>
      </w:r>
      <w:r>
        <w:rPr>
          <w:rFonts w:ascii="Avenir Next LT Pro" w:hAnsi="Avenir Next LT Pro"/>
          <w:sz w:val="20"/>
          <w:szCs w:val="20"/>
        </w:rPr>
        <w:t>that this Resolution applies to the peso and dollar account of the TRNP Trust Fund;</w:t>
      </w:r>
    </w:p>
    <w:p w14:paraId="6B3E108F" w14:textId="77777777" w:rsidR="009C0898" w:rsidRDefault="009C0898" w:rsidP="009C0898">
      <w:pPr>
        <w:pStyle w:val="NoSpacing"/>
        <w:spacing w:line="276" w:lineRule="auto"/>
        <w:ind w:firstLine="720"/>
        <w:rPr>
          <w:rFonts w:ascii="Avenir Next LT Pro" w:hAnsi="Avenir Next LT Pro"/>
          <w:sz w:val="20"/>
          <w:szCs w:val="20"/>
        </w:rPr>
      </w:pPr>
    </w:p>
    <w:p w14:paraId="41CE7915" w14:textId="67BF04E4" w:rsidR="009C0898" w:rsidRDefault="009C0898"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RESOLVED FURTHER,</w:t>
      </w:r>
      <w:r w:rsidRPr="009C0898">
        <w:rPr>
          <w:rFonts w:ascii="Avenir Next LT Pro" w:hAnsi="Avenir Next LT Pro"/>
          <w:sz w:val="20"/>
          <w:szCs w:val="20"/>
        </w:rPr>
        <w:t xml:space="preserve"> that any two of the three signatories may transact business with the </w:t>
      </w:r>
      <w:r w:rsidR="00717C2E">
        <w:rPr>
          <w:rFonts w:ascii="Avenir Next LT Pro" w:hAnsi="Avenir Next LT Pro"/>
          <w:sz w:val="20"/>
          <w:szCs w:val="20"/>
        </w:rPr>
        <w:t xml:space="preserve">Puerto </w:t>
      </w:r>
      <w:proofErr w:type="spellStart"/>
      <w:r w:rsidR="00717C2E">
        <w:rPr>
          <w:rFonts w:ascii="Avenir Next LT Pro" w:hAnsi="Avenir Next LT Pro"/>
          <w:sz w:val="20"/>
          <w:szCs w:val="20"/>
        </w:rPr>
        <w:t>Princesa</w:t>
      </w:r>
      <w:proofErr w:type="spellEnd"/>
      <w:r w:rsidR="00717C2E">
        <w:rPr>
          <w:rFonts w:ascii="Avenir Next LT Pro" w:hAnsi="Avenir Next LT Pro"/>
          <w:sz w:val="20"/>
          <w:szCs w:val="20"/>
        </w:rPr>
        <w:t xml:space="preserve"> branches of the</w:t>
      </w:r>
      <w:r w:rsidRPr="009C0898">
        <w:rPr>
          <w:rFonts w:ascii="Avenir Next LT Pro" w:hAnsi="Avenir Next LT Pro"/>
          <w:sz w:val="20"/>
          <w:szCs w:val="20"/>
        </w:rPr>
        <w:t xml:space="preserve"> Development Bank of the Philippines (peso </w:t>
      </w:r>
      <w:r w:rsidR="00717C2E">
        <w:rPr>
          <w:rFonts w:ascii="Avenir Next LT Pro" w:hAnsi="Avenir Next LT Pro"/>
          <w:sz w:val="20"/>
          <w:szCs w:val="20"/>
        </w:rPr>
        <w:t xml:space="preserve">current </w:t>
      </w:r>
      <w:r w:rsidRPr="009C0898">
        <w:rPr>
          <w:rFonts w:ascii="Avenir Next LT Pro" w:hAnsi="Avenir Next LT Pro"/>
          <w:sz w:val="20"/>
          <w:szCs w:val="20"/>
        </w:rPr>
        <w:t xml:space="preserve">account) and Landbank of the Philippines (dollar </w:t>
      </w:r>
      <w:r w:rsidR="00717C2E">
        <w:rPr>
          <w:rFonts w:ascii="Avenir Next LT Pro" w:hAnsi="Avenir Next LT Pro"/>
          <w:sz w:val="20"/>
          <w:szCs w:val="20"/>
        </w:rPr>
        <w:t xml:space="preserve">savings </w:t>
      </w:r>
      <w:r w:rsidRPr="009C0898">
        <w:rPr>
          <w:rFonts w:ascii="Avenir Next LT Pro" w:hAnsi="Avenir Next LT Pro"/>
          <w:sz w:val="20"/>
          <w:szCs w:val="20"/>
        </w:rPr>
        <w:t>account)</w:t>
      </w:r>
      <w:r w:rsidR="00717C2E">
        <w:rPr>
          <w:rFonts w:ascii="Avenir Next LT Pro" w:hAnsi="Avenir Next LT Pro"/>
          <w:sz w:val="20"/>
          <w:szCs w:val="20"/>
        </w:rPr>
        <w:t xml:space="preserve"> with the following details</w:t>
      </w:r>
      <w:r w:rsidRPr="009C0898">
        <w:rPr>
          <w:rFonts w:ascii="Avenir Next LT Pro" w:hAnsi="Avenir Next LT Pro"/>
          <w:sz w:val="20"/>
          <w:szCs w:val="20"/>
        </w:rPr>
        <w:t>;</w:t>
      </w:r>
    </w:p>
    <w:p w14:paraId="239EB192" w14:textId="77777777" w:rsidR="005155AE" w:rsidRDefault="005155AE" w:rsidP="009C0898">
      <w:pPr>
        <w:pStyle w:val="NoSpacing"/>
        <w:spacing w:line="276" w:lineRule="auto"/>
        <w:ind w:firstLine="720"/>
        <w:rPr>
          <w:rFonts w:ascii="Avenir Next LT Pro" w:hAnsi="Avenir Next LT Pro"/>
          <w:sz w:val="20"/>
          <w:szCs w:val="20"/>
        </w:rPr>
      </w:pPr>
    </w:p>
    <w:p w14:paraId="62982580" w14:textId="77777777" w:rsidR="00717C2E" w:rsidRDefault="00717C2E" w:rsidP="005155AE">
      <w:pPr>
        <w:pStyle w:val="NoSpacing"/>
        <w:spacing w:line="276" w:lineRule="auto"/>
        <w:ind w:firstLine="720"/>
        <w:rPr>
          <w:rFonts w:ascii="Avenir Next LT Pro" w:hAnsi="Avenir Next LT Pro"/>
          <w:sz w:val="20"/>
          <w:szCs w:val="20"/>
        </w:rPr>
      </w:pPr>
      <w:bookmarkStart w:id="3" w:name="_Hlk78377639"/>
      <w:r w:rsidRPr="00717C2E">
        <w:rPr>
          <w:rFonts w:ascii="Avenir Next LT Pro" w:hAnsi="Avenir Next LT Pro"/>
          <w:sz w:val="20"/>
          <w:szCs w:val="20"/>
        </w:rPr>
        <w:t>Development Bank of the Philippines</w:t>
      </w:r>
      <w:r>
        <w:rPr>
          <w:rFonts w:ascii="Avenir Next LT Pro" w:hAnsi="Avenir Next LT Pro"/>
          <w:sz w:val="20"/>
          <w:szCs w:val="20"/>
        </w:rPr>
        <w:t xml:space="preserve">: </w:t>
      </w:r>
      <w:r w:rsidR="005155AE" w:rsidRPr="005155AE">
        <w:rPr>
          <w:rFonts w:ascii="Avenir Next LT Pro" w:hAnsi="Avenir Next LT Pro"/>
          <w:sz w:val="20"/>
          <w:szCs w:val="20"/>
        </w:rPr>
        <w:t xml:space="preserve"> </w:t>
      </w:r>
    </w:p>
    <w:p w14:paraId="3CDF779F" w14:textId="77777777" w:rsidR="00717C2E" w:rsidRDefault="00717C2E" w:rsidP="005155AE">
      <w:pPr>
        <w:pStyle w:val="NoSpacing"/>
        <w:spacing w:line="276" w:lineRule="auto"/>
        <w:ind w:firstLine="720"/>
        <w:rPr>
          <w:rFonts w:ascii="Avenir Next LT Pro" w:hAnsi="Avenir Next LT Pro"/>
          <w:sz w:val="20"/>
          <w:szCs w:val="20"/>
        </w:rPr>
      </w:pPr>
      <w:r>
        <w:rPr>
          <w:rFonts w:ascii="Avenir Next LT Pro" w:hAnsi="Avenir Next LT Pro"/>
          <w:sz w:val="20"/>
          <w:szCs w:val="20"/>
        </w:rPr>
        <w:t xml:space="preserve">Account Name:  </w:t>
      </w:r>
      <w:r w:rsidR="005155AE" w:rsidRPr="005155AE">
        <w:rPr>
          <w:rFonts w:ascii="Avenir Next LT Pro" w:hAnsi="Avenir Next LT Pro"/>
          <w:sz w:val="20"/>
          <w:szCs w:val="20"/>
        </w:rPr>
        <w:t>TRNP Trust Fund</w:t>
      </w:r>
    </w:p>
    <w:p w14:paraId="0CD00578" w14:textId="58A13E4A" w:rsidR="005155AE" w:rsidRDefault="005155AE" w:rsidP="005155AE">
      <w:pPr>
        <w:pStyle w:val="NoSpacing"/>
        <w:spacing w:line="276" w:lineRule="auto"/>
        <w:ind w:firstLine="720"/>
        <w:rPr>
          <w:rFonts w:ascii="Avenir Next LT Pro" w:hAnsi="Avenir Next LT Pro"/>
          <w:sz w:val="20"/>
          <w:szCs w:val="20"/>
        </w:rPr>
      </w:pPr>
      <w:r w:rsidRPr="005155AE">
        <w:rPr>
          <w:rFonts w:ascii="Avenir Next LT Pro" w:hAnsi="Avenir Next LT Pro"/>
          <w:sz w:val="20"/>
          <w:szCs w:val="20"/>
        </w:rPr>
        <w:t xml:space="preserve">Account </w:t>
      </w:r>
      <w:r w:rsidR="00717C2E">
        <w:rPr>
          <w:rFonts w:ascii="Avenir Next LT Pro" w:hAnsi="Avenir Next LT Pro"/>
          <w:sz w:val="20"/>
          <w:szCs w:val="20"/>
        </w:rPr>
        <w:t>N</w:t>
      </w:r>
      <w:r w:rsidRPr="005155AE">
        <w:rPr>
          <w:rFonts w:ascii="Avenir Next LT Pro" w:hAnsi="Avenir Next LT Pro"/>
          <w:sz w:val="20"/>
          <w:szCs w:val="20"/>
        </w:rPr>
        <w:t>umber: 0635-041961-080</w:t>
      </w:r>
    </w:p>
    <w:bookmarkEnd w:id="3"/>
    <w:p w14:paraId="60021378" w14:textId="77777777" w:rsidR="005155AE" w:rsidRDefault="005155AE" w:rsidP="005155AE">
      <w:pPr>
        <w:pStyle w:val="NoSpacing"/>
        <w:spacing w:line="276" w:lineRule="auto"/>
        <w:ind w:firstLine="720"/>
        <w:rPr>
          <w:rFonts w:ascii="Avenir Next LT Pro" w:hAnsi="Avenir Next LT Pro"/>
          <w:sz w:val="20"/>
          <w:szCs w:val="20"/>
        </w:rPr>
      </w:pPr>
    </w:p>
    <w:p w14:paraId="053CC3CB" w14:textId="77777777" w:rsidR="00717C2E" w:rsidRDefault="005155AE" w:rsidP="005155AE">
      <w:pPr>
        <w:pStyle w:val="NoSpacing"/>
        <w:spacing w:line="276" w:lineRule="auto"/>
        <w:ind w:firstLine="720"/>
        <w:rPr>
          <w:rFonts w:ascii="Avenir Next LT Pro" w:hAnsi="Avenir Next LT Pro"/>
          <w:sz w:val="20"/>
          <w:szCs w:val="20"/>
        </w:rPr>
      </w:pPr>
      <w:r w:rsidRPr="005155AE">
        <w:rPr>
          <w:rFonts w:ascii="Avenir Next LT Pro" w:hAnsi="Avenir Next LT Pro"/>
          <w:sz w:val="20"/>
          <w:szCs w:val="20"/>
        </w:rPr>
        <w:t>Landbank of the Philippines</w:t>
      </w:r>
      <w:r w:rsidR="00717C2E">
        <w:rPr>
          <w:rFonts w:ascii="Avenir Next LT Pro" w:hAnsi="Avenir Next LT Pro"/>
          <w:sz w:val="20"/>
          <w:szCs w:val="20"/>
        </w:rPr>
        <w:t>:</w:t>
      </w:r>
    </w:p>
    <w:p w14:paraId="1005D9FA" w14:textId="2E5DAFA3" w:rsidR="005155AE" w:rsidRPr="005155AE" w:rsidRDefault="00717C2E" w:rsidP="005155AE">
      <w:pPr>
        <w:pStyle w:val="NoSpacing"/>
        <w:spacing w:line="276" w:lineRule="auto"/>
        <w:ind w:firstLine="720"/>
        <w:rPr>
          <w:rFonts w:ascii="Avenir Next LT Pro" w:hAnsi="Avenir Next LT Pro"/>
          <w:sz w:val="20"/>
          <w:szCs w:val="20"/>
        </w:rPr>
      </w:pPr>
      <w:r>
        <w:rPr>
          <w:rFonts w:ascii="Avenir Next LT Pro" w:hAnsi="Avenir Next LT Pro"/>
          <w:sz w:val="20"/>
          <w:szCs w:val="20"/>
        </w:rPr>
        <w:t xml:space="preserve">Account Name:  </w:t>
      </w:r>
      <w:proofErr w:type="spellStart"/>
      <w:r w:rsidR="005155AE" w:rsidRPr="005155AE">
        <w:rPr>
          <w:rFonts w:ascii="Avenir Next LT Pro" w:hAnsi="Avenir Next LT Pro"/>
          <w:sz w:val="20"/>
          <w:szCs w:val="20"/>
        </w:rPr>
        <w:t>Tubbataha</w:t>
      </w:r>
      <w:proofErr w:type="spellEnd"/>
      <w:r w:rsidR="005155AE" w:rsidRPr="005155AE">
        <w:rPr>
          <w:rFonts w:ascii="Avenir Next LT Pro" w:hAnsi="Avenir Next LT Pro"/>
          <w:sz w:val="20"/>
          <w:szCs w:val="20"/>
        </w:rPr>
        <w:t xml:space="preserve"> Protected Area Management Board</w:t>
      </w:r>
      <w:r>
        <w:rPr>
          <w:rFonts w:ascii="Avenir Next LT Pro" w:hAnsi="Avenir Next LT Pro"/>
          <w:sz w:val="20"/>
          <w:szCs w:val="20"/>
        </w:rPr>
        <w:t xml:space="preserve"> </w:t>
      </w:r>
    </w:p>
    <w:p w14:paraId="59E620D2" w14:textId="4B87F721" w:rsidR="005155AE" w:rsidRDefault="005155AE" w:rsidP="005155AE">
      <w:pPr>
        <w:pStyle w:val="NoSpacing"/>
        <w:spacing w:line="276" w:lineRule="auto"/>
        <w:ind w:firstLine="720"/>
        <w:rPr>
          <w:rFonts w:ascii="Avenir Next LT Pro" w:hAnsi="Avenir Next LT Pro"/>
          <w:sz w:val="20"/>
          <w:szCs w:val="20"/>
        </w:rPr>
      </w:pPr>
      <w:r w:rsidRPr="005155AE">
        <w:rPr>
          <w:rFonts w:ascii="Avenir Next LT Pro" w:hAnsi="Avenir Next LT Pro"/>
          <w:sz w:val="20"/>
          <w:szCs w:val="20"/>
        </w:rPr>
        <w:t>Account number: 0464-0022-94</w:t>
      </w:r>
    </w:p>
    <w:p w14:paraId="0722DF20" w14:textId="77777777" w:rsidR="009C0898" w:rsidRPr="009C0898" w:rsidRDefault="009C0898" w:rsidP="009C0898">
      <w:pPr>
        <w:pStyle w:val="NoSpacing"/>
        <w:spacing w:line="276" w:lineRule="auto"/>
        <w:ind w:firstLine="720"/>
        <w:rPr>
          <w:rFonts w:ascii="Avenir Next LT Pro" w:hAnsi="Avenir Next LT Pro"/>
          <w:sz w:val="20"/>
          <w:szCs w:val="20"/>
        </w:rPr>
      </w:pPr>
    </w:p>
    <w:p w14:paraId="2907FFC9" w14:textId="77777777" w:rsidR="009C0898" w:rsidRPr="009C0898" w:rsidRDefault="009C0898"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lastRenderedPageBreak/>
        <w:t>RESOLVED FINALLY,</w:t>
      </w:r>
      <w:r w:rsidRPr="009C0898">
        <w:rPr>
          <w:rFonts w:ascii="Avenir Next LT Pro" w:hAnsi="Avenir Next LT Pro"/>
          <w:sz w:val="20"/>
          <w:szCs w:val="20"/>
        </w:rPr>
        <w:t xml:space="preserve"> that a copy of this Resolution shall be provided to the above-named banks.</w:t>
      </w:r>
    </w:p>
    <w:p w14:paraId="11C026F7" w14:textId="77777777" w:rsidR="009C0898" w:rsidRDefault="009C0898" w:rsidP="006C46E7">
      <w:pPr>
        <w:pStyle w:val="NoSpacing"/>
        <w:spacing w:line="276" w:lineRule="auto"/>
        <w:rPr>
          <w:rFonts w:ascii="Avenir Next LT Pro" w:hAnsi="Avenir Next LT Pro"/>
          <w:sz w:val="20"/>
          <w:szCs w:val="20"/>
        </w:rPr>
      </w:pPr>
    </w:p>
    <w:p w14:paraId="4DBCEFAD" w14:textId="4E39A9DB" w:rsidR="006C46E7" w:rsidRPr="00A17D2C" w:rsidRDefault="006C46E7" w:rsidP="009C0898">
      <w:pPr>
        <w:pStyle w:val="NoSpacing"/>
        <w:spacing w:line="276" w:lineRule="auto"/>
        <w:ind w:firstLine="720"/>
        <w:rPr>
          <w:rFonts w:ascii="Avenir Next LT Pro" w:hAnsi="Avenir Next LT Pro"/>
          <w:sz w:val="20"/>
          <w:szCs w:val="20"/>
        </w:rPr>
      </w:pPr>
      <w:r w:rsidRPr="009C0898">
        <w:rPr>
          <w:rFonts w:ascii="Avenir Next LT Pro" w:hAnsi="Avenir Next LT Pro"/>
          <w:b/>
          <w:bCs/>
          <w:sz w:val="20"/>
          <w:szCs w:val="20"/>
        </w:rPr>
        <w:t>ADOPTED AND APPROVED</w:t>
      </w:r>
      <w:r w:rsidRPr="00A17D2C">
        <w:rPr>
          <w:rFonts w:ascii="Avenir Next LT Pro" w:hAnsi="Avenir Next LT Pro"/>
          <w:sz w:val="20"/>
          <w:szCs w:val="20"/>
        </w:rPr>
        <w:t xml:space="preserve"> this </w:t>
      </w:r>
      <w:r w:rsidR="008F09C4">
        <w:rPr>
          <w:rFonts w:ascii="Avenir Next LT Pro" w:hAnsi="Avenir Next LT Pro"/>
          <w:sz w:val="20"/>
          <w:szCs w:val="20"/>
        </w:rPr>
        <w:t>30th</w:t>
      </w:r>
      <w:r w:rsidRPr="00A17D2C">
        <w:rPr>
          <w:rFonts w:ascii="Avenir Next LT Pro" w:hAnsi="Avenir Next LT Pro"/>
          <w:sz w:val="20"/>
          <w:szCs w:val="20"/>
        </w:rPr>
        <w:t xml:space="preserve"> day of </w:t>
      </w:r>
      <w:r w:rsidR="008F09C4">
        <w:rPr>
          <w:rFonts w:ascii="Avenir Next LT Pro" w:hAnsi="Avenir Next LT Pro"/>
          <w:sz w:val="20"/>
          <w:szCs w:val="20"/>
        </w:rPr>
        <w:t>July</w:t>
      </w:r>
      <w:r w:rsidRPr="00A17D2C">
        <w:rPr>
          <w:rFonts w:ascii="Avenir Next LT Pro" w:hAnsi="Avenir Next LT Pro"/>
          <w:sz w:val="20"/>
          <w:szCs w:val="20"/>
        </w:rPr>
        <w:t xml:space="preserve"> 2021 at Puerto </w:t>
      </w:r>
      <w:proofErr w:type="spellStart"/>
      <w:r w:rsidRPr="00A17D2C">
        <w:rPr>
          <w:rFonts w:ascii="Avenir Next LT Pro" w:hAnsi="Avenir Next LT Pro"/>
          <w:sz w:val="20"/>
          <w:szCs w:val="20"/>
        </w:rPr>
        <w:t>Princesa</w:t>
      </w:r>
      <w:proofErr w:type="spellEnd"/>
      <w:r w:rsidRPr="00A17D2C">
        <w:rPr>
          <w:rFonts w:ascii="Avenir Next LT Pro" w:hAnsi="Avenir Next LT Pro"/>
          <w:sz w:val="20"/>
          <w:szCs w:val="20"/>
        </w:rPr>
        <w:t xml:space="preserve"> City.</w:t>
      </w:r>
    </w:p>
    <w:p w14:paraId="64438FDF" w14:textId="77777777" w:rsidR="006C46E7" w:rsidRPr="00A17D2C" w:rsidRDefault="006C46E7" w:rsidP="006C46E7">
      <w:pPr>
        <w:pStyle w:val="NoSpacing"/>
        <w:spacing w:line="276" w:lineRule="auto"/>
        <w:rPr>
          <w:rFonts w:ascii="Avenir Next LT Pro" w:hAnsi="Avenir Next LT Pro"/>
          <w:sz w:val="20"/>
          <w:szCs w:val="20"/>
        </w:rPr>
      </w:pPr>
      <w:r w:rsidRPr="00A17D2C">
        <w:rPr>
          <w:rFonts w:ascii="Avenir Next LT Pro" w:hAnsi="Avenir Next LT Pro"/>
          <w:sz w:val="20"/>
          <w:szCs w:val="20"/>
        </w:rPr>
        <w:t>-----------------------------------------------------------------------------------------------------------------------</w:t>
      </w:r>
    </w:p>
    <w:p w14:paraId="0EF3378E" w14:textId="77777777" w:rsidR="006C46E7" w:rsidRPr="00A17D2C" w:rsidRDefault="006C46E7" w:rsidP="006C46E7">
      <w:pPr>
        <w:pStyle w:val="NoSpacing"/>
        <w:spacing w:line="276" w:lineRule="auto"/>
        <w:rPr>
          <w:rFonts w:ascii="Avenir Next LT Pro" w:hAnsi="Avenir Next LT Pro"/>
          <w:sz w:val="20"/>
          <w:szCs w:val="20"/>
        </w:rPr>
      </w:pPr>
      <w:r w:rsidRPr="00A17D2C">
        <w:rPr>
          <w:rFonts w:ascii="Avenir Next LT Pro" w:hAnsi="Avenir Next LT Pro"/>
          <w:sz w:val="20"/>
          <w:szCs w:val="20"/>
        </w:rPr>
        <w:tab/>
        <w:t>I hereby certify to the correctness and accuracy of the above – quoted resolution.</w:t>
      </w:r>
    </w:p>
    <w:p w14:paraId="23A6F863" w14:textId="77777777" w:rsidR="006C46E7" w:rsidRPr="00A17D2C" w:rsidRDefault="006C46E7" w:rsidP="006C46E7">
      <w:pPr>
        <w:pStyle w:val="NoSpacing"/>
        <w:spacing w:line="276" w:lineRule="auto"/>
        <w:rPr>
          <w:rFonts w:ascii="Avenir Next LT Pro" w:hAnsi="Avenir Next LT Pro"/>
          <w:sz w:val="20"/>
          <w:szCs w:val="20"/>
        </w:rPr>
      </w:pPr>
      <w:r w:rsidRPr="00A17D2C">
        <w:rPr>
          <w:rFonts w:ascii="Avenir Next LT Pro" w:hAnsi="Avenir Next LT Pro"/>
          <w:sz w:val="20"/>
          <w:szCs w:val="20"/>
        </w:rPr>
        <w:t>Prepared by:</w:t>
      </w:r>
    </w:p>
    <w:p w14:paraId="5793B179" w14:textId="77777777" w:rsidR="006C46E7" w:rsidRPr="00A17D2C" w:rsidRDefault="006C46E7" w:rsidP="006C46E7">
      <w:pPr>
        <w:pStyle w:val="NoSpacing"/>
        <w:spacing w:line="276" w:lineRule="auto"/>
        <w:rPr>
          <w:rFonts w:ascii="Avenir Next LT Pro" w:hAnsi="Avenir Next LT Pro"/>
          <w:sz w:val="20"/>
          <w:szCs w:val="20"/>
        </w:rPr>
      </w:pPr>
    </w:p>
    <w:p w14:paraId="580C620C" w14:textId="77777777" w:rsidR="006C46E7" w:rsidRPr="00A17D2C" w:rsidRDefault="006C46E7" w:rsidP="006C46E7">
      <w:pPr>
        <w:pStyle w:val="NoSpacing"/>
        <w:spacing w:line="276" w:lineRule="auto"/>
        <w:rPr>
          <w:rFonts w:ascii="Avenir Next LT Pro" w:hAnsi="Avenir Next LT Pro"/>
          <w:sz w:val="20"/>
          <w:szCs w:val="20"/>
        </w:rPr>
      </w:pPr>
    </w:p>
    <w:p w14:paraId="6E1A4032" w14:textId="77777777" w:rsidR="006C46E7" w:rsidRPr="009C0898" w:rsidRDefault="006C46E7" w:rsidP="009C0898">
      <w:pPr>
        <w:pStyle w:val="NoSpacing"/>
        <w:spacing w:line="276" w:lineRule="auto"/>
        <w:ind w:left="4320" w:firstLine="720"/>
        <w:rPr>
          <w:rFonts w:ascii="Avenir Next LT Pro" w:hAnsi="Avenir Next LT Pro"/>
          <w:b/>
          <w:bCs/>
          <w:sz w:val="20"/>
          <w:szCs w:val="20"/>
        </w:rPr>
      </w:pPr>
      <w:r w:rsidRPr="009C0898">
        <w:rPr>
          <w:rFonts w:ascii="Avenir Next LT Pro" w:hAnsi="Avenir Next LT Pro"/>
          <w:b/>
          <w:bCs/>
          <w:sz w:val="20"/>
          <w:szCs w:val="20"/>
        </w:rPr>
        <w:t>ANGELIQUE M. SONGCO</w:t>
      </w:r>
    </w:p>
    <w:p w14:paraId="001DB634" w14:textId="1A2C2DB2" w:rsidR="006C46E7" w:rsidRPr="00A17D2C" w:rsidRDefault="006C46E7" w:rsidP="006C46E7">
      <w:pPr>
        <w:pStyle w:val="NoSpacing"/>
        <w:spacing w:line="276" w:lineRule="auto"/>
        <w:rPr>
          <w:rFonts w:ascii="Avenir Next LT Pro" w:hAnsi="Avenir Next LT Pro"/>
          <w:sz w:val="20"/>
          <w:szCs w:val="20"/>
        </w:rPr>
      </w:pPr>
      <w:r w:rsidRPr="00A17D2C">
        <w:rPr>
          <w:rFonts w:ascii="Avenir Next LT Pro" w:hAnsi="Avenir Next LT Pro"/>
          <w:sz w:val="20"/>
          <w:szCs w:val="20"/>
        </w:rPr>
        <w:t xml:space="preserve">                </w:t>
      </w:r>
      <w:r w:rsidR="009C0898">
        <w:rPr>
          <w:rFonts w:ascii="Avenir Next LT Pro" w:hAnsi="Avenir Next LT Pro"/>
          <w:sz w:val="20"/>
          <w:szCs w:val="20"/>
        </w:rPr>
        <w:tab/>
      </w:r>
      <w:r w:rsidR="009C0898">
        <w:rPr>
          <w:rFonts w:ascii="Avenir Next LT Pro" w:hAnsi="Avenir Next LT Pro"/>
          <w:sz w:val="20"/>
          <w:szCs w:val="20"/>
        </w:rPr>
        <w:tab/>
      </w:r>
      <w:r w:rsidR="009C0898">
        <w:rPr>
          <w:rFonts w:ascii="Avenir Next LT Pro" w:hAnsi="Avenir Next LT Pro"/>
          <w:sz w:val="20"/>
          <w:szCs w:val="20"/>
        </w:rPr>
        <w:tab/>
      </w:r>
      <w:r w:rsidR="009C0898">
        <w:rPr>
          <w:rFonts w:ascii="Avenir Next LT Pro" w:hAnsi="Avenir Next LT Pro"/>
          <w:sz w:val="20"/>
          <w:szCs w:val="20"/>
        </w:rPr>
        <w:tab/>
      </w:r>
      <w:r w:rsidR="009C0898">
        <w:rPr>
          <w:rFonts w:ascii="Avenir Next LT Pro" w:hAnsi="Avenir Next LT Pro"/>
          <w:sz w:val="20"/>
          <w:szCs w:val="20"/>
        </w:rPr>
        <w:tab/>
      </w:r>
      <w:r w:rsidR="009C0898">
        <w:rPr>
          <w:rFonts w:ascii="Avenir Next LT Pro" w:hAnsi="Avenir Next LT Pro"/>
          <w:sz w:val="20"/>
          <w:szCs w:val="20"/>
        </w:rPr>
        <w:tab/>
      </w:r>
      <w:r w:rsidR="009C0898">
        <w:rPr>
          <w:rFonts w:ascii="Avenir Next LT Pro" w:hAnsi="Avenir Next LT Pro"/>
          <w:sz w:val="20"/>
          <w:szCs w:val="20"/>
        </w:rPr>
        <w:tab/>
        <w:t xml:space="preserve"> </w:t>
      </w:r>
      <w:r w:rsidRPr="00A17D2C">
        <w:rPr>
          <w:rFonts w:ascii="Avenir Next LT Pro" w:hAnsi="Avenir Next LT Pro"/>
          <w:sz w:val="20"/>
          <w:szCs w:val="20"/>
        </w:rPr>
        <w:t>Secretary</w:t>
      </w:r>
    </w:p>
    <w:p w14:paraId="6ED08340" w14:textId="77777777" w:rsidR="0078455A" w:rsidRPr="00A17D2C" w:rsidRDefault="0078455A" w:rsidP="006C46E7">
      <w:pPr>
        <w:pStyle w:val="NoSpacing"/>
        <w:spacing w:line="276" w:lineRule="auto"/>
        <w:rPr>
          <w:rFonts w:ascii="Avenir Next LT Pro" w:hAnsi="Avenir Next LT Pro"/>
          <w:sz w:val="20"/>
          <w:szCs w:val="20"/>
        </w:rPr>
      </w:pPr>
    </w:p>
    <w:p w14:paraId="3D735353" w14:textId="142875AA" w:rsidR="006C46E7" w:rsidRDefault="006C46E7">
      <w:pPr>
        <w:pStyle w:val="NoSpacing"/>
        <w:spacing w:line="276" w:lineRule="auto"/>
        <w:rPr>
          <w:rFonts w:ascii="Avenir Next LT Pro" w:hAnsi="Avenir Next LT Pro"/>
          <w:sz w:val="20"/>
          <w:szCs w:val="20"/>
        </w:rPr>
      </w:pPr>
    </w:p>
    <w:p w14:paraId="6F36B234" w14:textId="205F5E9E" w:rsidR="00114D33" w:rsidRPr="00114D33" w:rsidRDefault="00114D33" w:rsidP="00114D33"/>
    <w:p w14:paraId="05BD9244" w14:textId="54A0FD63" w:rsidR="00114D33" w:rsidRPr="00114D33" w:rsidRDefault="00114D33" w:rsidP="00114D33"/>
    <w:p w14:paraId="3F25B221" w14:textId="242F7CCC" w:rsidR="00114D33" w:rsidRPr="00114D33" w:rsidRDefault="00114D33" w:rsidP="00114D33"/>
    <w:p w14:paraId="4CD36BA9" w14:textId="65D60C28" w:rsidR="00114D33" w:rsidRPr="00114D33" w:rsidRDefault="00114D33" w:rsidP="00114D33"/>
    <w:p w14:paraId="5F9D4B99" w14:textId="306A0A18" w:rsidR="00114D33" w:rsidRPr="00114D33" w:rsidRDefault="00114D33" w:rsidP="00114D33"/>
    <w:p w14:paraId="6F120891" w14:textId="21DF9851" w:rsidR="00114D33" w:rsidRPr="00114D33" w:rsidRDefault="00114D33" w:rsidP="00114D33"/>
    <w:p w14:paraId="19E315CC" w14:textId="37C7F9B1" w:rsidR="00114D33" w:rsidRPr="00114D33" w:rsidRDefault="00114D33" w:rsidP="00114D33"/>
    <w:p w14:paraId="0DC2D930" w14:textId="0712D0C5" w:rsidR="00114D33" w:rsidRPr="00114D33" w:rsidRDefault="00114D33" w:rsidP="00114D33"/>
    <w:p w14:paraId="77DFD03B" w14:textId="60447040" w:rsidR="00114D33" w:rsidRPr="00114D33" w:rsidRDefault="00114D33" w:rsidP="00114D33"/>
    <w:p w14:paraId="3C933B2A" w14:textId="77519405" w:rsidR="00114D33" w:rsidRPr="00114D33" w:rsidRDefault="00114D33" w:rsidP="00114D33"/>
    <w:p w14:paraId="0FA874E3" w14:textId="4C98DFB0" w:rsidR="00114D33" w:rsidRPr="00114D33" w:rsidRDefault="00114D33" w:rsidP="00114D33"/>
    <w:p w14:paraId="1FCA37C2" w14:textId="2BC9D8A2" w:rsidR="00114D33" w:rsidRPr="00114D33" w:rsidRDefault="00114D33" w:rsidP="00114D33"/>
    <w:p w14:paraId="79887971" w14:textId="03A7E5E8" w:rsidR="00114D33" w:rsidRPr="00114D33" w:rsidRDefault="00114D33" w:rsidP="00114D33"/>
    <w:p w14:paraId="5B2BA083" w14:textId="33B9BA60" w:rsidR="00114D33" w:rsidRPr="00114D33" w:rsidRDefault="00114D33" w:rsidP="00114D33"/>
    <w:p w14:paraId="772FC738" w14:textId="7EFAA115" w:rsidR="00114D33" w:rsidRPr="00114D33" w:rsidRDefault="00114D33" w:rsidP="00114D33"/>
    <w:p w14:paraId="700298A3" w14:textId="2EA6A8B7" w:rsidR="00114D33" w:rsidRPr="00114D33" w:rsidRDefault="00114D33" w:rsidP="00114D33"/>
    <w:p w14:paraId="4AA345ED" w14:textId="74BE7FF1" w:rsidR="00114D33" w:rsidRPr="00114D33" w:rsidRDefault="00114D33" w:rsidP="00114D33"/>
    <w:p w14:paraId="4B3F4181" w14:textId="54C0BC91" w:rsidR="00114D33" w:rsidRPr="00114D33" w:rsidRDefault="00114D33" w:rsidP="00114D33"/>
    <w:p w14:paraId="010EE431" w14:textId="3354D34A" w:rsidR="00114D33" w:rsidRPr="00114D33" w:rsidRDefault="00114D33" w:rsidP="00114D33"/>
    <w:p w14:paraId="583A8D28" w14:textId="5946239D" w:rsidR="00114D33" w:rsidRPr="00114D33" w:rsidRDefault="00114D33" w:rsidP="00114D33"/>
    <w:p w14:paraId="72D12BBA" w14:textId="5D877BC6" w:rsidR="00114D33" w:rsidRPr="00114D33" w:rsidRDefault="00114D33" w:rsidP="00114D33"/>
    <w:p w14:paraId="31A448DA" w14:textId="068B9895" w:rsidR="00114D33" w:rsidRPr="00114D33" w:rsidRDefault="00114D33" w:rsidP="00114D33"/>
    <w:p w14:paraId="34694740" w14:textId="45DF21CA" w:rsidR="00114D33" w:rsidRPr="00114D33" w:rsidRDefault="00114D33" w:rsidP="00114D33"/>
    <w:p w14:paraId="1C201D6C" w14:textId="17158650" w:rsidR="00114D33" w:rsidRPr="00114D33" w:rsidRDefault="00114D33" w:rsidP="00114D33"/>
    <w:p w14:paraId="2FCE68E1" w14:textId="1C9A53F6" w:rsidR="00114D33" w:rsidRPr="00114D33" w:rsidRDefault="00114D33" w:rsidP="00114D33"/>
    <w:p w14:paraId="6793BE23" w14:textId="29F22047" w:rsidR="00114D33" w:rsidRPr="00114D33" w:rsidRDefault="00114D33" w:rsidP="00114D33"/>
    <w:p w14:paraId="48CD1C48" w14:textId="7FC2E3D9" w:rsidR="00114D33" w:rsidRPr="00114D33" w:rsidRDefault="00114D33" w:rsidP="00114D33"/>
    <w:p w14:paraId="72ABF909" w14:textId="4A7DBC30" w:rsidR="00114D33" w:rsidRPr="00114D33" w:rsidRDefault="00114D33" w:rsidP="00114D33"/>
    <w:p w14:paraId="54A96942" w14:textId="0237F16E" w:rsidR="00114D33" w:rsidRPr="00114D33" w:rsidRDefault="00114D33" w:rsidP="00114D33"/>
    <w:p w14:paraId="3735C461" w14:textId="1536053C" w:rsidR="00114D33" w:rsidRDefault="00114D33" w:rsidP="00114D33">
      <w:pPr>
        <w:tabs>
          <w:tab w:val="left" w:pos="1661"/>
        </w:tabs>
      </w:pPr>
      <w:r>
        <w:tab/>
      </w:r>
    </w:p>
    <w:p w14:paraId="54739DFF" w14:textId="72811940" w:rsidR="008F09C4" w:rsidRPr="008F09C4" w:rsidRDefault="008F09C4" w:rsidP="008F09C4"/>
    <w:p w14:paraId="5DB28F61" w14:textId="26336211" w:rsidR="008F09C4" w:rsidRPr="008F09C4" w:rsidRDefault="008F09C4" w:rsidP="008F09C4"/>
    <w:p w14:paraId="1C45FA3F" w14:textId="439E1515" w:rsidR="008F09C4" w:rsidRPr="008F09C4" w:rsidRDefault="008F09C4" w:rsidP="008F09C4"/>
    <w:p w14:paraId="229BAA6F" w14:textId="48E63C11" w:rsidR="008F09C4" w:rsidRPr="008F09C4" w:rsidRDefault="008F09C4" w:rsidP="008F09C4">
      <w:pPr>
        <w:tabs>
          <w:tab w:val="left" w:pos="1453"/>
        </w:tabs>
      </w:pPr>
      <w:r>
        <w:tab/>
      </w:r>
    </w:p>
    <w:sectPr w:rsidR="008F09C4" w:rsidRPr="008F09C4" w:rsidSect="009C0898">
      <w:footerReference w:type="default" r:id="rId6"/>
      <w:pgSz w:w="11879" w:h="18722" w:code="15"/>
      <w:pgMar w:top="1138"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BF7EA" w14:textId="77777777" w:rsidR="006B2295" w:rsidRDefault="006B2295" w:rsidP="006C46E7">
      <w:pPr>
        <w:spacing w:after="0" w:line="240" w:lineRule="auto"/>
      </w:pPr>
      <w:r>
        <w:separator/>
      </w:r>
    </w:p>
  </w:endnote>
  <w:endnote w:type="continuationSeparator" w:id="0">
    <w:p w14:paraId="270C6BB8" w14:textId="77777777" w:rsidR="006B2295" w:rsidRDefault="006B2295" w:rsidP="006C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Avenir Next LT Pro">
    <w:altName w:val="Avenir Next LT Pro"/>
    <w:charset w:val="00"/>
    <w:family w:val="swiss"/>
    <w:pitch w:val="variable"/>
    <w:sig w:usb0="800000EF" w:usb1="5000204A" w:usb2="00000000" w:usb3="00000000" w:csb0="00000093"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bel" w:hAnsi="Corbel"/>
        <w:i/>
        <w:sz w:val="16"/>
        <w:szCs w:val="16"/>
      </w:rPr>
      <w:id w:val="-1980291354"/>
      <w:docPartObj>
        <w:docPartGallery w:val="Page Numbers (Bottom of Page)"/>
        <w:docPartUnique/>
      </w:docPartObj>
    </w:sdtPr>
    <w:sdtEndPr/>
    <w:sdtContent>
      <w:sdt>
        <w:sdtPr>
          <w:rPr>
            <w:rFonts w:ascii="Corbel" w:hAnsi="Corbel"/>
            <w:i/>
            <w:sz w:val="16"/>
            <w:szCs w:val="16"/>
          </w:rPr>
          <w:id w:val="-1699071667"/>
          <w:docPartObj>
            <w:docPartGallery w:val="Page Numbers (Top of Page)"/>
            <w:docPartUnique/>
          </w:docPartObj>
        </w:sdtPr>
        <w:sdtEndPr/>
        <w:sdtContent>
          <w:p w14:paraId="65277E99" w14:textId="35174DE4" w:rsidR="00AB3F58" w:rsidRPr="00AB3F58" w:rsidRDefault="00154B2B" w:rsidP="00AB3F58">
            <w:pPr>
              <w:pStyle w:val="Footer"/>
              <w:rPr>
                <w:rFonts w:ascii="Corbel" w:hAnsi="Corbel"/>
                <w:i/>
                <w:sz w:val="16"/>
                <w:szCs w:val="16"/>
              </w:rPr>
            </w:pPr>
            <w:r>
              <w:rPr>
                <w:rFonts w:ascii="Corbel" w:hAnsi="Corbel"/>
                <w:i/>
                <w:sz w:val="16"/>
                <w:szCs w:val="16"/>
              </w:rPr>
              <w:t>TPAMB Resolution 21-0</w:t>
            </w:r>
            <w:r w:rsidR="008F09C4">
              <w:rPr>
                <w:rFonts w:ascii="Corbel" w:hAnsi="Corbel"/>
                <w:i/>
                <w:sz w:val="16"/>
                <w:szCs w:val="16"/>
              </w:rPr>
              <w:t>7</w:t>
            </w:r>
            <w:r>
              <w:rPr>
                <w:rFonts w:ascii="Corbel" w:hAnsi="Corbel"/>
                <w:i/>
                <w:sz w:val="16"/>
                <w:szCs w:val="16"/>
              </w:rPr>
              <w:tab/>
            </w:r>
            <w:r>
              <w:rPr>
                <w:rFonts w:ascii="Corbel" w:hAnsi="Corbel"/>
                <w:i/>
                <w:sz w:val="16"/>
                <w:szCs w:val="16"/>
              </w:rPr>
              <w:tab/>
              <w:t xml:space="preserve"> </w:t>
            </w:r>
            <w:r w:rsidRPr="00AB3F58">
              <w:rPr>
                <w:rFonts w:ascii="Corbel" w:hAnsi="Corbel"/>
                <w:i/>
                <w:sz w:val="16"/>
                <w:szCs w:val="16"/>
              </w:rPr>
              <w:t xml:space="preserve">Page </w:t>
            </w:r>
            <w:r w:rsidRPr="00AB3F58">
              <w:rPr>
                <w:rFonts w:ascii="Corbel" w:hAnsi="Corbel"/>
                <w:bCs/>
                <w:i/>
                <w:sz w:val="16"/>
                <w:szCs w:val="16"/>
              </w:rPr>
              <w:fldChar w:fldCharType="begin"/>
            </w:r>
            <w:r w:rsidRPr="00AB3F58">
              <w:rPr>
                <w:rFonts w:ascii="Corbel" w:hAnsi="Corbel"/>
                <w:bCs/>
                <w:i/>
                <w:sz w:val="16"/>
                <w:szCs w:val="16"/>
              </w:rPr>
              <w:instrText xml:space="preserve"> PAGE </w:instrText>
            </w:r>
            <w:r w:rsidRPr="00AB3F58">
              <w:rPr>
                <w:rFonts w:ascii="Corbel" w:hAnsi="Corbel"/>
                <w:bCs/>
                <w:i/>
                <w:sz w:val="16"/>
                <w:szCs w:val="16"/>
              </w:rPr>
              <w:fldChar w:fldCharType="separate"/>
            </w:r>
            <w:r w:rsidRPr="00AB3F58">
              <w:rPr>
                <w:rFonts w:ascii="Corbel" w:hAnsi="Corbel"/>
                <w:bCs/>
                <w:i/>
                <w:noProof/>
                <w:sz w:val="16"/>
                <w:szCs w:val="16"/>
              </w:rPr>
              <w:t>2</w:t>
            </w:r>
            <w:r w:rsidRPr="00AB3F58">
              <w:rPr>
                <w:rFonts w:ascii="Corbel" w:hAnsi="Corbel"/>
                <w:bCs/>
                <w:i/>
                <w:sz w:val="16"/>
                <w:szCs w:val="16"/>
              </w:rPr>
              <w:fldChar w:fldCharType="end"/>
            </w:r>
            <w:r w:rsidRPr="00AB3F58">
              <w:rPr>
                <w:rFonts w:ascii="Corbel" w:hAnsi="Corbel"/>
                <w:i/>
                <w:sz w:val="16"/>
                <w:szCs w:val="16"/>
              </w:rPr>
              <w:t xml:space="preserve"> of </w:t>
            </w:r>
            <w:r w:rsidRPr="00AB3F58">
              <w:rPr>
                <w:rFonts w:ascii="Corbel" w:hAnsi="Corbel"/>
                <w:bCs/>
                <w:i/>
                <w:sz w:val="16"/>
                <w:szCs w:val="16"/>
              </w:rPr>
              <w:fldChar w:fldCharType="begin"/>
            </w:r>
            <w:r w:rsidRPr="00AB3F58">
              <w:rPr>
                <w:rFonts w:ascii="Corbel" w:hAnsi="Corbel"/>
                <w:bCs/>
                <w:i/>
                <w:sz w:val="16"/>
                <w:szCs w:val="16"/>
              </w:rPr>
              <w:instrText xml:space="preserve"> NUMPAGES  </w:instrText>
            </w:r>
            <w:r w:rsidRPr="00AB3F58">
              <w:rPr>
                <w:rFonts w:ascii="Corbel" w:hAnsi="Corbel"/>
                <w:bCs/>
                <w:i/>
                <w:sz w:val="16"/>
                <w:szCs w:val="16"/>
              </w:rPr>
              <w:fldChar w:fldCharType="separate"/>
            </w:r>
            <w:r w:rsidRPr="00AB3F58">
              <w:rPr>
                <w:rFonts w:ascii="Corbel" w:hAnsi="Corbel"/>
                <w:bCs/>
                <w:i/>
                <w:noProof/>
                <w:sz w:val="16"/>
                <w:szCs w:val="16"/>
              </w:rPr>
              <w:t>2</w:t>
            </w:r>
            <w:r w:rsidRPr="00AB3F58">
              <w:rPr>
                <w:rFonts w:ascii="Corbel" w:hAnsi="Corbel"/>
                <w:bCs/>
                <w:i/>
                <w:sz w:val="16"/>
                <w:szCs w:val="16"/>
              </w:rPr>
              <w:fldChar w:fldCharType="end"/>
            </w:r>
          </w:p>
        </w:sdtContent>
      </w:sdt>
    </w:sdtContent>
  </w:sdt>
  <w:p w14:paraId="3730AF97" w14:textId="77777777" w:rsidR="00874535" w:rsidRPr="00AB3F58" w:rsidRDefault="006B2295">
    <w:pPr>
      <w:pStyle w:val="Footer"/>
      <w:rPr>
        <w:rFonts w:ascii="Corbel" w:hAnsi="Corbe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ACF6" w14:textId="77777777" w:rsidR="006B2295" w:rsidRDefault="006B2295" w:rsidP="006C46E7">
      <w:pPr>
        <w:spacing w:after="0" w:line="240" w:lineRule="auto"/>
      </w:pPr>
      <w:r>
        <w:separator/>
      </w:r>
    </w:p>
  </w:footnote>
  <w:footnote w:type="continuationSeparator" w:id="0">
    <w:p w14:paraId="3766BCFE" w14:textId="77777777" w:rsidR="006B2295" w:rsidRDefault="006B2295" w:rsidP="006C46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50D"/>
    <w:rsid w:val="00114D33"/>
    <w:rsid w:val="00154B2B"/>
    <w:rsid w:val="00213CEE"/>
    <w:rsid w:val="00273797"/>
    <w:rsid w:val="003C72F3"/>
    <w:rsid w:val="00417F55"/>
    <w:rsid w:val="005155AE"/>
    <w:rsid w:val="006B2295"/>
    <w:rsid w:val="006C46E7"/>
    <w:rsid w:val="00717C2E"/>
    <w:rsid w:val="0078455A"/>
    <w:rsid w:val="007C316A"/>
    <w:rsid w:val="008B33F9"/>
    <w:rsid w:val="008F09C4"/>
    <w:rsid w:val="009C0898"/>
    <w:rsid w:val="00A17D2C"/>
    <w:rsid w:val="00C25D3E"/>
    <w:rsid w:val="00FB6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6A67"/>
  <w15:chartTrackingRefBased/>
  <w15:docId w15:val="{16E7D8CC-D3EC-4FAC-850C-5563AD24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650D"/>
    <w:pPr>
      <w:tabs>
        <w:tab w:val="center" w:pos="4680"/>
        <w:tab w:val="right" w:pos="9360"/>
      </w:tabs>
      <w:spacing w:after="0" w:line="240" w:lineRule="auto"/>
    </w:pPr>
    <w:rPr>
      <w:rFonts w:ascii="Candara" w:hAnsi="Candara"/>
      <w:sz w:val="24"/>
      <w:szCs w:val="24"/>
    </w:rPr>
  </w:style>
  <w:style w:type="character" w:customStyle="1" w:styleId="FooterChar">
    <w:name w:val="Footer Char"/>
    <w:basedOn w:val="DefaultParagraphFont"/>
    <w:link w:val="Footer"/>
    <w:uiPriority w:val="99"/>
    <w:rsid w:val="00FB650D"/>
    <w:rPr>
      <w:rFonts w:ascii="Candara" w:hAnsi="Candara"/>
      <w:sz w:val="24"/>
      <w:szCs w:val="24"/>
    </w:rPr>
  </w:style>
  <w:style w:type="paragraph" w:styleId="NoSpacing">
    <w:name w:val="No Spacing"/>
    <w:uiPriority w:val="1"/>
    <w:qFormat/>
    <w:rsid w:val="006C46E7"/>
    <w:pPr>
      <w:spacing w:after="0" w:line="240" w:lineRule="auto"/>
    </w:pPr>
  </w:style>
  <w:style w:type="paragraph" w:styleId="Header">
    <w:name w:val="header"/>
    <w:basedOn w:val="Normal"/>
    <w:link w:val="HeaderChar"/>
    <w:uiPriority w:val="99"/>
    <w:unhideWhenUsed/>
    <w:rsid w:val="006C4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Angelique Songco</dc:creator>
  <cp:keywords/>
  <dc:description/>
  <cp:lastModifiedBy>Asus</cp:lastModifiedBy>
  <cp:revision>3</cp:revision>
  <dcterms:created xsi:type="dcterms:W3CDTF">2021-07-28T06:30:00Z</dcterms:created>
  <dcterms:modified xsi:type="dcterms:W3CDTF">2021-07-28T07:58:00Z</dcterms:modified>
</cp:coreProperties>
</file>