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6071F28" w:rsidR="00080287" w:rsidRPr="00774E91" w:rsidRDefault="00FE05C3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bookmarkStart w:id="0" w:name="_gjdgxs" w:colFirst="0" w:colLast="0"/>
      <w:bookmarkEnd w:id="0"/>
      <w:r w:rsidRPr="00774E91">
        <w:rPr>
          <w:rFonts w:ascii="Avenir Next LT Pro" w:hAnsi="Avenir Next LT Pro"/>
          <w:b/>
          <w:sz w:val="21"/>
          <w:szCs w:val="21"/>
        </w:rPr>
        <w:t xml:space="preserve">Excerpts from the Minutes of the </w:t>
      </w:r>
      <w:r w:rsidR="00114C40" w:rsidRPr="00774E91">
        <w:rPr>
          <w:rFonts w:ascii="Avenir Next LT Pro" w:hAnsi="Avenir Next LT Pro"/>
          <w:b/>
          <w:sz w:val="21"/>
          <w:szCs w:val="21"/>
        </w:rPr>
        <w:t>8</w:t>
      </w:r>
      <w:r w:rsidR="00BD504A" w:rsidRPr="00774E91">
        <w:rPr>
          <w:rFonts w:ascii="Avenir Next LT Pro" w:hAnsi="Avenir Next LT Pro"/>
          <w:b/>
          <w:sz w:val="21"/>
          <w:szCs w:val="21"/>
        </w:rPr>
        <w:t>6</w:t>
      </w:r>
      <w:r w:rsidR="00BD504A" w:rsidRPr="00774E91">
        <w:rPr>
          <w:rFonts w:ascii="Avenir Next LT Pro" w:hAnsi="Avenir Next LT Pro"/>
          <w:b/>
          <w:sz w:val="21"/>
          <w:szCs w:val="21"/>
          <w:vertAlign w:val="superscript"/>
        </w:rPr>
        <w:t>th</w:t>
      </w:r>
      <w:r w:rsidR="00BD504A" w:rsidRPr="00774E91">
        <w:rPr>
          <w:rFonts w:ascii="Avenir Next LT Pro" w:hAnsi="Avenir Next LT Pro"/>
          <w:b/>
          <w:sz w:val="21"/>
          <w:szCs w:val="21"/>
        </w:rPr>
        <w:t xml:space="preserve"> </w:t>
      </w:r>
      <w:r w:rsidRPr="00774E91">
        <w:rPr>
          <w:rFonts w:ascii="Avenir Next LT Pro" w:hAnsi="Avenir Next LT Pro"/>
          <w:b/>
          <w:sz w:val="21"/>
          <w:szCs w:val="21"/>
        </w:rPr>
        <w:t>TPAMB Meeting</w:t>
      </w:r>
    </w:p>
    <w:p w14:paraId="0ACC9E5B" w14:textId="77777777" w:rsidR="00BD504A" w:rsidRPr="00774E91" w:rsidRDefault="006B5B0C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 xml:space="preserve">Zoom </w:t>
      </w:r>
      <w:r w:rsidR="00E42A68" w:rsidRPr="00774E91">
        <w:rPr>
          <w:rFonts w:ascii="Avenir Next LT Pro" w:hAnsi="Avenir Next LT Pro"/>
          <w:sz w:val="21"/>
          <w:szCs w:val="21"/>
        </w:rPr>
        <w:t xml:space="preserve">ID No. </w:t>
      </w:r>
      <w:r w:rsidR="00BD504A" w:rsidRPr="00774E91">
        <w:rPr>
          <w:rFonts w:ascii="Avenir Next LT Pro" w:hAnsi="Avenir Next LT Pro"/>
          <w:sz w:val="21"/>
          <w:szCs w:val="21"/>
        </w:rPr>
        <w:t>822 4319 2936</w:t>
      </w:r>
    </w:p>
    <w:p w14:paraId="7C2C4C4F" w14:textId="3A4325C9" w:rsidR="00950780" w:rsidRPr="00774E91" w:rsidRDefault="00BD504A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>30 July 2021</w:t>
      </w:r>
    </w:p>
    <w:p w14:paraId="3D0D6B35" w14:textId="77777777" w:rsidR="00BD504A" w:rsidRPr="00774E91" w:rsidRDefault="00BD504A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</w:p>
    <w:p w14:paraId="0C4D4C29" w14:textId="77777777" w:rsidR="00F70B5F" w:rsidRPr="00774E91" w:rsidRDefault="00F70B5F" w:rsidP="00F70B5F">
      <w:pPr>
        <w:spacing w:line="276" w:lineRule="auto"/>
        <w:ind w:left="720"/>
        <w:contextualSpacing/>
        <w:rPr>
          <w:rFonts w:ascii="Avenir Next LT Pro" w:hAnsi="Avenir Next LT Pro" w:cs="Times New Roman"/>
          <w:sz w:val="21"/>
          <w:szCs w:val="21"/>
          <w:lang w:val="en-US"/>
        </w:rPr>
      </w:pPr>
      <w:r w:rsidRPr="00774E91">
        <w:rPr>
          <w:rFonts w:ascii="Avenir Next LT Pro" w:hAnsi="Avenir Next LT Pro" w:cs="Times New Roman"/>
          <w:sz w:val="21"/>
          <w:szCs w:val="21"/>
          <w:lang w:val="en-US"/>
        </w:rPr>
        <w:t>Present:</w:t>
      </w:r>
    </w:p>
    <w:p w14:paraId="5F93D756" w14:textId="46D6AC44" w:rsidR="00F70B5F" w:rsidRPr="00774E91" w:rsidRDefault="00F70B5F" w:rsidP="00BD504A">
      <w:pPr>
        <w:tabs>
          <w:tab w:val="left" w:pos="1620"/>
        </w:tabs>
        <w:spacing w:after="0" w:line="276" w:lineRule="auto"/>
        <w:rPr>
          <w:rFonts w:ascii="Avenir Next LT Pro" w:hAnsi="Avenir Next LT Pro" w:cs="Times New Roman"/>
          <w:sz w:val="21"/>
          <w:szCs w:val="21"/>
          <w:lang w:val="en-US"/>
        </w:rPr>
      </w:pP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__________________________________________</w:t>
      </w:r>
      <w:r w:rsidR="00FF0E21" w:rsidRPr="00774E91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_________</w:t>
      </w:r>
      <w:r w:rsidRPr="00774E91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</w:t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774E91">
        <w:rPr>
          <w:rFonts w:ascii="Avenir Next LT Pro" w:hAnsi="Avenir Next LT Pro" w:cs="Times New Roman"/>
          <w:sz w:val="21"/>
          <w:szCs w:val="21"/>
          <w:lang w:val="en-US"/>
        </w:rPr>
        <w:tab/>
      </w:r>
    </w:p>
    <w:p w14:paraId="4D3B6471" w14:textId="77777777" w:rsidR="00535B25" w:rsidRPr="00774E91" w:rsidRDefault="00535B25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p w14:paraId="00000015" w14:textId="0178BFCE" w:rsidR="00080287" w:rsidRPr="00774E91" w:rsidRDefault="00FE05C3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bookmarkStart w:id="1" w:name="_Hlk33695887"/>
      <w:r w:rsidRPr="00774E91">
        <w:rPr>
          <w:rFonts w:ascii="Avenir Next LT Pro" w:hAnsi="Avenir Next LT Pro"/>
          <w:b/>
          <w:sz w:val="21"/>
          <w:szCs w:val="21"/>
        </w:rPr>
        <w:t xml:space="preserve">TPAMB Resolution No. </w:t>
      </w:r>
      <w:r w:rsidR="00B62610" w:rsidRPr="00774E91">
        <w:rPr>
          <w:rFonts w:ascii="Avenir Next LT Pro" w:hAnsi="Avenir Next LT Pro"/>
          <w:b/>
          <w:sz w:val="21"/>
          <w:szCs w:val="21"/>
        </w:rPr>
        <w:t>20</w:t>
      </w:r>
      <w:r w:rsidRPr="00774E91">
        <w:rPr>
          <w:rFonts w:ascii="Avenir Next LT Pro" w:hAnsi="Avenir Next LT Pro"/>
          <w:b/>
          <w:sz w:val="21"/>
          <w:szCs w:val="21"/>
        </w:rPr>
        <w:t>-</w:t>
      </w:r>
      <w:r w:rsidR="00BD504A" w:rsidRPr="00774E91">
        <w:rPr>
          <w:rFonts w:ascii="Avenir Next LT Pro" w:hAnsi="Avenir Next LT Pro"/>
          <w:b/>
          <w:sz w:val="21"/>
          <w:szCs w:val="21"/>
        </w:rPr>
        <w:t>00</w:t>
      </w:r>
      <w:r w:rsidR="00774E91" w:rsidRPr="00774E91">
        <w:rPr>
          <w:rFonts w:ascii="Avenir Next LT Pro" w:hAnsi="Avenir Next LT Pro"/>
          <w:b/>
          <w:sz w:val="21"/>
          <w:szCs w:val="21"/>
        </w:rPr>
        <w:t>8</w:t>
      </w:r>
    </w:p>
    <w:p w14:paraId="00000016" w14:textId="77777777" w:rsidR="00080287" w:rsidRPr="00774E91" w:rsidRDefault="00080287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p w14:paraId="75D19A3F" w14:textId="77777777" w:rsidR="00774E91" w:rsidRPr="00774E91" w:rsidRDefault="00B23B06" w:rsidP="00774E91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 w:rsidRPr="00774E91">
        <w:rPr>
          <w:rFonts w:ascii="Avenir Next LT Pro" w:hAnsi="Avenir Next LT Pro"/>
          <w:b/>
          <w:sz w:val="21"/>
          <w:szCs w:val="21"/>
        </w:rPr>
        <w:t>‘</w:t>
      </w:r>
      <w:r w:rsidR="00774E91" w:rsidRPr="00774E91">
        <w:rPr>
          <w:rFonts w:ascii="Avenir Next LT Pro" w:hAnsi="Avenir Next LT Pro"/>
          <w:b/>
          <w:sz w:val="21"/>
          <w:szCs w:val="21"/>
        </w:rPr>
        <w:t xml:space="preserve">Endorsing the Proposed 2022 TMO Work and Financial Plan to the </w:t>
      </w:r>
    </w:p>
    <w:p w14:paraId="57319E55" w14:textId="77777777" w:rsidR="00774E91" w:rsidRPr="00774E91" w:rsidRDefault="00774E91" w:rsidP="00774E91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 w:rsidRPr="00774E91">
        <w:rPr>
          <w:rFonts w:ascii="Avenir Next LT Pro" w:hAnsi="Avenir Next LT Pro"/>
          <w:b/>
          <w:sz w:val="21"/>
          <w:szCs w:val="21"/>
        </w:rPr>
        <w:t xml:space="preserve">Department of Environment and Natural Resources (DENR) Amounting </w:t>
      </w:r>
    </w:p>
    <w:p w14:paraId="495C052E" w14:textId="25941406" w:rsidR="00E42A68" w:rsidRPr="00774E91" w:rsidRDefault="00774E91" w:rsidP="00774E91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 w:rsidRPr="00774E91">
        <w:rPr>
          <w:rFonts w:ascii="Avenir Next LT Pro" w:hAnsi="Avenir Next LT Pro"/>
          <w:b/>
          <w:sz w:val="21"/>
          <w:szCs w:val="21"/>
        </w:rPr>
        <w:t>to Five Million Eighty-One Thousand Pesos (</w:t>
      </w:r>
      <w:r w:rsidRPr="00774E91">
        <w:rPr>
          <w:rFonts w:ascii="Arial" w:hAnsi="Arial" w:cs="Arial"/>
          <w:b/>
          <w:sz w:val="21"/>
          <w:szCs w:val="21"/>
        </w:rPr>
        <w:t>₱</w:t>
      </w:r>
      <w:r w:rsidRPr="00774E91">
        <w:rPr>
          <w:rFonts w:ascii="Avenir Next LT Pro" w:hAnsi="Avenir Next LT Pro" w:cs="Arial"/>
          <w:b/>
          <w:sz w:val="21"/>
          <w:szCs w:val="21"/>
        </w:rPr>
        <w:t>5,081,000.00)</w:t>
      </w:r>
      <w:r w:rsidR="00D22380" w:rsidRPr="00774E91">
        <w:rPr>
          <w:rFonts w:ascii="Avenir Next LT Pro" w:hAnsi="Avenir Next LT Pro"/>
          <w:b/>
          <w:sz w:val="21"/>
          <w:szCs w:val="21"/>
        </w:rPr>
        <w:t>’</w:t>
      </w:r>
    </w:p>
    <w:p w14:paraId="00000017" w14:textId="12EE120D" w:rsidR="00080287" w:rsidRPr="00774E91" w:rsidRDefault="00080287" w:rsidP="000F70FD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bookmarkEnd w:id="1"/>
    <w:p w14:paraId="074AC093" w14:textId="252888D1" w:rsidR="006C62C7" w:rsidRPr="00774E91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WHEREAS,</w:t>
      </w:r>
      <w:r w:rsidRPr="00774E91">
        <w:rPr>
          <w:rFonts w:ascii="Avenir Next LT Pro" w:hAnsi="Avenir Next LT Pro"/>
          <w:sz w:val="21"/>
          <w:szCs w:val="21"/>
        </w:rPr>
        <w:t xml:space="preserve"> the </w:t>
      </w:r>
      <w:r w:rsidR="00CA365A" w:rsidRPr="00774E91">
        <w:rPr>
          <w:rFonts w:ascii="Avenir Next LT Pro" w:hAnsi="Avenir Next LT Pro"/>
          <w:sz w:val="21"/>
          <w:szCs w:val="21"/>
        </w:rPr>
        <w:t xml:space="preserve">Republic Act (RA) No.10067 also known as the </w:t>
      </w:r>
      <w:r w:rsidRPr="00774E91">
        <w:rPr>
          <w:rFonts w:ascii="Avenir Next LT Pro" w:hAnsi="Avenir Next LT Pro"/>
          <w:sz w:val="21"/>
          <w:szCs w:val="21"/>
        </w:rPr>
        <w:t>Tubbataha Reefs Natural Park Act of 2009, aims to ensure the protection of the globally significant economic and other values of the Tubbataha Reefs;</w:t>
      </w:r>
      <w:r w:rsidRPr="00774E91">
        <w:rPr>
          <w:rFonts w:ascii="Avenir Next LT Pro" w:hAnsi="Avenir Next LT Pro"/>
          <w:sz w:val="21"/>
          <w:szCs w:val="21"/>
        </w:rPr>
        <w:tab/>
      </w:r>
    </w:p>
    <w:p w14:paraId="59CA884B" w14:textId="77777777" w:rsidR="006C62C7" w:rsidRPr="00774E91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49DB7B41" w14:textId="70E0B2B1" w:rsidR="006C62C7" w:rsidRPr="00774E91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WHEREAS,</w:t>
      </w:r>
      <w:r w:rsidRPr="00774E91">
        <w:rPr>
          <w:rFonts w:ascii="Avenir Next LT Pro" w:hAnsi="Avenir Next LT Pro"/>
          <w:sz w:val="21"/>
          <w:szCs w:val="21"/>
        </w:rPr>
        <w:t xml:space="preserve"> the Tubbataha Protected Area Management Board (TPAMB) was established pursuant to Section</w:t>
      </w:r>
      <w:r w:rsidR="004B3AC9" w:rsidRPr="00774E91">
        <w:rPr>
          <w:rFonts w:ascii="Avenir Next LT Pro" w:hAnsi="Avenir Next LT Pro"/>
          <w:sz w:val="21"/>
          <w:szCs w:val="21"/>
        </w:rPr>
        <w:t xml:space="preserve"> </w:t>
      </w:r>
      <w:r w:rsidRPr="00774E91">
        <w:rPr>
          <w:rFonts w:ascii="Avenir Next LT Pro" w:hAnsi="Avenir Next LT Pro"/>
          <w:sz w:val="21"/>
          <w:szCs w:val="21"/>
        </w:rPr>
        <w:t xml:space="preserve">10 of RA No. 10067 </w:t>
      </w:r>
      <w:r w:rsidR="00CC22E5" w:rsidRPr="00774E91">
        <w:rPr>
          <w:rFonts w:ascii="Avenir Next LT Pro" w:hAnsi="Avenir Next LT Pro"/>
          <w:sz w:val="21"/>
          <w:szCs w:val="21"/>
        </w:rPr>
        <w:t>as</w:t>
      </w:r>
      <w:r w:rsidRPr="00774E91">
        <w:rPr>
          <w:rFonts w:ascii="Avenir Next LT Pro" w:hAnsi="Avenir Next LT Pro"/>
          <w:sz w:val="21"/>
          <w:szCs w:val="21"/>
        </w:rPr>
        <w:t xml:space="preserve"> the sole policy making and permit-granting body for the Tubbataha Reefs;</w:t>
      </w:r>
    </w:p>
    <w:p w14:paraId="0AD92780" w14:textId="77777777" w:rsidR="006C62C7" w:rsidRPr="00774E91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04144B40" w14:textId="37A54134" w:rsidR="006C62C7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WHEREAS,</w:t>
      </w:r>
      <w:r w:rsidRPr="00774E91">
        <w:rPr>
          <w:rFonts w:ascii="Avenir Next LT Pro" w:hAnsi="Avenir Next LT Pro"/>
          <w:sz w:val="21"/>
          <w:szCs w:val="21"/>
        </w:rPr>
        <w:t xml:space="preserve"> Section 1</w:t>
      </w:r>
      <w:r w:rsidR="00D22380" w:rsidRPr="00774E91">
        <w:rPr>
          <w:rFonts w:ascii="Avenir Next LT Pro" w:hAnsi="Avenir Next LT Pro"/>
          <w:sz w:val="21"/>
          <w:szCs w:val="21"/>
        </w:rPr>
        <w:t>3</w:t>
      </w:r>
      <w:r w:rsidRPr="00774E91">
        <w:rPr>
          <w:rFonts w:ascii="Avenir Next LT Pro" w:hAnsi="Avenir Next LT Pro"/>
          <w:sz w:val="21"/>
          <w:szCs w:val="21"/>
        </w:rPr>
        <w:t xml:space="preserve"> (</w:t>
      </w:r>
      <w:r w:rsidR="00482C12" w:rsidRPr="00774E91">
        <w:rPr>
          <w:rFonts w:ascii="Avenir Next LT Pro" w:hAnsi="Avenir Next LT Pro"/>
          <w:sz w:val="21"/>
          <w:szCs w:val="21"/>
        </w:rPr>
        <w:t>b</w:t>
      </w:r>
      <w:r w:rsidRPr="00774E91">
        <w:rPr>
          <w:rFonts w:ascii="Avenir Next LT Pro" w:hAnsi="Avenir Next LT Pro"/>
          <w:sz w:val="21"/>
          <w:szCs w:val="21"/>
        </w:rPr>
        <w:t xml:space="preserve">) of R.A. 10067 </w:t>
      </w:r>
      <w:r w:rsidR="00481616" w:rsidRPr="00774E91">
        <w:rPr>
          <w:rFonts w:ascii="Avenir Next LT Pro" w:hAnsi="Avenir Next LT Pro"/>
          <w:sz w:val="21"/>
          <w:szCs w:val="21"/>
        </w:rPr>
        <w:t>instructs</w:t>
      </w:r>
      <w:r w:rsidRPr="00774E91">
        <w:rPr>
          <w:rFonts w:ascii="Avenir Next LT Pro" w:hAnsi="Avenir Next LT Pro"/>
          <w:sz w:val="21"/>
          <w:szCs w:val="21"/>
        </w:rPr>
        <w:t xml:space="preserve"> the TPAMB to </w:t>
      </w:r>
      <w:r w:rsidR="00482C12" w:rsidRPr="00774E91">
        <w:rPr>
          <w:rFonts w:ascii="Avenir Next LT Pro" w:hAnsi="Avenir Next LT Pro"/>
          <w:sz w:val="21"/>
          <w:szCs w:val="21"/>
        </w:rPr>
        <w:t>‘[a]</w:t>
      </w:r>
      <w:proofErr w:type="spellStart"/>
      <w:r w:rsidR="00482C12" w:rsidRPr="00774E91">
        <w:rPr>
          <w:rFonts w:ascii="Avenir Next LT Pro" w:hAnsi="Avenir Next LT Pro"/>
          <w:sz w:val="21"/>
          <w:szCs w:val="21"/>
        </w:rPr>
        <w:t>pprove</w:t>
      </w:r>
      <w:proofErr w:type="spellEnd"/>
      <w:r w:rsidR="00482C12" w:rsidRPr="00774E91">
        <w:rPr>
          <w:rFonts w:ascii="Avenir Next LT Pro" w:hAnsi="Avenir Next LT Pro"/>
          <w:sz w:val="21"/>
          <w:szCs w:val="21"/>
        </w:rPr>
        <w:t xml:space="preserve"> budget allocations, proposals, work plans … for the management of the </w:t>
      </w:r>
      <w:r w:rsidR="00ED261D" w:rsidRPr="00774E91">
        <w:rPr>
          <w:rFonts w:ascii="Avenir Next LT Pro" w:hAnsi="Avenir Next LT Pro"/>
          <w:sz w:val="21"/>
          <w:szCs w:val="21"/>
        </w:rPr>
        <w:t>TRNP</w:t>
      </w:r>
      <w:r w:rsidR="00482C12" w:rsidRPr="00774E91">
        <w:rPr>
          <w:rFonts w:ascii="Avenir Next LT Pro" w:hAnsi="Avenir Next LT Pro"/>
          <w:sz w:val="21"/>
          <w:szCs w:val="21"/>
        </w:rPr>
        <w:t xml:space="preserve"> in accordance with the management plan’</w:t>
      </w:r>
      <w:r w:rsidR="00870D9D" w:rsidRPr="00774E91">
        <w:rPr>
          <w:rFonts w:ascii="Avenir Next LT Pro" w:hAnsi="Avenir Next LT Pro"/>
          <w:sz w:val="21"/>
          <w:szCs w:val="21"/>
        </w:rPr>
        <w:t>;</w:t>
      </w:r>
    </w:p>
    <w:p w14:paraId="59C33A76" w14:textId="538E3895" w:rsidR="00C36CB0" w:rsidRDefault="00C36CB0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121D9A94" w14:textId="3AEBF6A7" w:rsidR="00C36CB0" w:rsidRPr="00C36CB0" w:rsidRDefault="00C36CB0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proofErr w:type="gramStart"/>
      <w:r w:rsidRPr="00C36CB0">
        <w:rPr>
          <w:rFonts w:ascii="Avenir Next LT Pro" w:hAnsi="Avenir Next LT Pro"/>
          <w:b/>
          <w:bCs/>
          <w:sz w:val="21"/>
          <w:szCs w:val="21"/>
        </w:rPr>
        <w:t>WHEREAS,</w:t>
      </w:r>
      <w:proofErr w:type="gramEnd"/>
      <w:r>
        <w:rPr>
          <w:rFonts w:ascii="Avenir Next LT Pro" w:hAnsi="Avenir Next LT Pro"/>
          <w:b/>
          <w:bCs/>
          <w:sz w:val="21"/>
          <w:szCs w:val="21"/>
        </w:rPr>
        <w:t xml:space="preserve"> </w:t>
      </w:r>
      <w:r>
        <w:rPr>
          <w:rFonts w:ascii="Avenir Next LT Pro" w:hAnsi="Avenir Next LT Pro"/>
          <w:sz w:val="21"/>
          <w:szCs w:val="21"/>
        </w:rPr>
        <w:t xml:space="preserve">Section </w:t>
      </w:r>
      <w:r w:rsidR="00943966">
        <w:rPr>
          <w:rFonts w:ascii="Avenir Next LT Pro" w:hAnsi="Avenir Next LT Pro"/>
          <w:sz w:val="21"/>
          <w:szCs w:val="21"/>
        </w:rPr>
        <w:t>1</w:t>
      </w:r>
      <w:r>
        <w:rPr>
          <w:rFonts w:ascii="Avenir Next LT Pro" w:hAnsi="Avenir Next LT Pro"/>
          <w:sz w:val="21"/>
          <w:szCs w:val="21"/>
        </w:rPr>
        <w:t>6 of R.A. 10067</w:t>
      </w:r>
      <w:r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Pr="00C36CB0">
        <w:rPr>
          <w:rFonts w:ascii="Avenir Next LT Pro" w:hAnsi="Avenir Next LT Pro"/>
          <w:sz w:val="21"/>
          <w:szCs w:val="21"/>
        </w:rPr>
        <w:t>states that the DENR and the PCSD</w:t>
      </w:r>
      <w:r>
        <w:rPr>
          <w:rFonts w:ascii="Avenir Next LT Pro" w:hAnsi="Avenir Next LT Pro"/>
          <w:sz w:val="21"/>
          <w:szCs w:val="21"/>
        </w:rPr>
        <w:t xml:space="preserve"> shall coordinate closely to ensure the sound management and conservation of the TRNP and provide technical and financial assistance to the TRNP as may be needed;</w:t>
      </w:r>
    </w:p>
    <w:p w14:paraId="164D48D8" w14:textId="77777777" w:rsidR="006C62C7" w:rsidRPr="00774E91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155C9C22" w14:textId="30B60A23" w:rsidR="005843FD" w:rsidRPr="00774E91" w:rsidRDefault="006C62C7" w:rsidP="00D22380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bookmarkStart w:id="2" w:name="_Hlk33695844"/>
      <w:r w:rsidRPr="00774E91">
        <w:rPr>
          <w:rFonts w:ascii="Avenir Next LT Pro" w:hAnsi="Avenir Next LT Pro"/>
          <w:b/>
          <w:bCs/>
          <w:sz w:val="21"/>
          <w:szCs w:val="21"/>
        </w:rPr>
        <w:t>WHEREAS,</w:t>
      </w:r>
      <w:r w:rsidR="00296CC4" w:rsidRPr="00774E91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774E91" w:rsidRPr="00774E91">
        <w:rPr>
          <w:rFonts w:ascii="Avenir Next LT Pro" w:hAnsi="Avenir Next LT Pro"/>
          <w:sz w:val="21"/>
          <w:szCs w:val="21"/>
        </w:rPr>
        <w:t>TMO is applying for a grant from DENR for 2022</w:t>
      </w:r>
      <w:r w:rsidR="00774E91">
        <w:rPr>
          <w:rFonts w:ascii="Avenir Next LT Pro" w:hAnsi="Avenir Next LT Pro"/>
          <w:sz w:val="21"/>
          <w:szCs w:val="21"/>
        </w:rPr>
        <w:t xml:space="preserve"> to fund </w:t>
      </w:r>
      <w:r w:rsidR="00CE1765">
        <w:rPr>
          <w:rFonts w:ascii="Avenir Next LT Pro" w:hAnsi="Avenir Next LT Pro"/>
          <w:sz w:val="21"/>
          <w:szCs w:val="21"/>
        </w:rPr>
        <w:t xml:space="preserve">a portion of administrative costs, ecosystem </w:t>
      </w:r>
      <w:r w:rsidR="00774E91">
        <w:rPr>
          <w:rFonts w:ascii="Avenir Next LT Pro" w:hAnsi="Avenir Next LT Pro"/>
          <w:sz w:val="21"/>
          <w:szCs w:val="21"/>
        </w:rPr>
        <w:t>research</w:t>
      </w:r>
      <w:r w:rsidR="00CE1765">
        <w:rPr>
          <w:rFonts w:ascii="Avenir Next LT Pro" w:hAnsi="Avenir Next LT Pro"/>
          <w:sz w:val="21"/>
          <w:szCs w:val="21"/>
        </w:rPr>
        <w:t xml:space="preserve">, and other management trips to </w:t>
      </w:r>
      <w:proofErr w:type="spellStart"/>
      <w:r w:rsidR="00CE1765">
        <w:rPr>
          <w:rFonts w:ascii="Avenir Next LT Pro" w:hAnsi="Avenir Next LT Pro"/>
          <w:sz w:val="21"/>
          <w:szCs w:val="21"/>
        </w:rPr>
        <w:t>Tubbataha</w:t>
      </w:r>
      <w:proofErr w:type="spellEnd"/>
      <w:r w:rsidR="00DE5087" w:rsidRPr="00774E91">
        <w:rPr>
          <w:rFonts w:ascii="Avenir Next LT Pro" w:hAnsi="Avenir Next LT Pro"/>
          <w:sz w:val="21"/>
          <w:szCs w:val="21"/>
        </w:rPr>
        <w:t>;</w:t>
      </w:r>
    </w:p>
    <w:p w14:paraId="1772426C" w14:textId="156AEE3F" w:rsidR="00A35250" w:rsidRPr="00774E91" w:rsidRDefault="00A35250" w:rsidP="00D22380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664A5169" w14:textId="04E2B5A2" w:rsidR="00AB1978" w:rsidRPr="00774E91" w:rsidRDefault="006C62C7" w:rsidP="00CE1765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NOW THEREFORE,</w:t>
      </w:r>
      <w:r w:rsidR="00857581" w:rsidRPr="00774E91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857581" w:rsidRPr="00774E91">
        <w:rPr>
          <w:rFonts w:ascii="Avenir Next LT Pro" w:hAnsi="Avenir Next LT Pro"/>
          <w:sz w:val="21"/>
          <w:szCs w:val="21"/>
        </w:rPr>
        <w:t xml:space="preserve">be it resolved, as it is hereby resolved, </w:t>
      </w:r>
      <w:r w:rsidR="00857581" w:rsidRPr="00774E91">
        <w:rPr>
          <w:rFonts w:ascii="Avenir Next LT Pro" w:hAnsi="Avenir Next LT Pro" w:cs="Biome"/>
          <w:sz w:val="21"/>
          <w:szCs w:val="21"/>
        </w:rPr>
        <w:t>that the TPAMB</w:t>
      </w:r>
      <w:r w:rsidR="00857581" w:rsidRPr="00774E91">
        <w:rPr>
          <w:rFonts w:ascii="Avenir Next LT Pro" w:hAnsi="Avenir Next LT Pro"/>
          <w:sz w:val="21"/>
          <w:szCs w:val="21"/>
        </w:rPr>
        <w:t xml:space="preserve"> </w:t>
      </w:r>
      <w:r w:rsidR="00CE1765">
        <w:rPr>
          <w:rFonts w:ascii="Avenir Next LT Pro" w:hAnsi="Avenir Next LT Pro"/>
          <w:sz w:val="21"/>
          <w:szCs w:val="21"/>
        </w:rPr>
        <w:t>endorses</w:t>
      </w:r>
      <w:r w:rsidR="006D3E88" w:rsidRPr="00774E91">
        <w:rPr>
          <w:rFonts w:ascii="Avenir Next LT Pro" w:hAnsi="Avenir Next LT Pro"/>
          <w:sz w:val="21"/>
          <w:szCs w:val="21"/>
        </w:rPr>
        <w:t>,</w:t>
      </w:r>
      <w:r w:rsidR="000263F4" w:rsidRPr="00774E91">
        <w:rPr>
          <w:rFonts w:ascii="Avenir Next LT Pro" w:hAnsi="Avenir Next LT Pro"/>
          <w:sz w:val="21"/>
          <w:szCs w:val="21"/>
        </w:rPr>
        <w:t xml:space="preserve"> as it is hereby </w:t>
      </w:r>
      <w:r w:rsidR="00CE1765">
        <w:rPr>
          <w:rFonts w:ascii="Avenir Next LT Pro" w:hAnsi="Avenir Next LT Pro"/>
          <w:sz w:val="21"/>
          <w:szCs w:val="21"/>
        </w:rPr>
        <w:t>endors</w:t>
      </w:r>
      <w:r w:rsidR="00566B83" w:rsidRPr="00774E91">
        <w:rPr>
          <w:rFonts w:ascii="Avenir Next LT Pro" w:hAnsi="Avenir Next LT Pro"/>
          <w:sz w:val="21"/>
          <w:szCs w:val="21"/>
        </w:rPr>
        <w:t>ed</w:t>
      </w:r>
      <w:r w:rsidR="000263F4" w:rsidRPr="00774E91">
        <w:rPr>
          <w:rFonts w:ascii="Avenir Next LT Pro" w:hAnsi="Avenir Next LT Pro"/>
          <w:sz w:val="21"/>
          <w:szCs w:val="21"/>
        </w:rPr>
        <w:t>,</w:t>
      </w:r>
      <w:r w:rsidR="006D3E88" w:rsidRPr="00774E91">
        <w:rPr>
          <w:rFonts w:ascii="Avenir Next LT Pro" w:hAnsi="Avenir Next LT Pro"/>
          <w:sz w:val="21"/>
          <w:szCs w:val="21"/>
        </w:rPr>
        <w:t xml:space="preserve"> </w:t>
      </w:r>
      <w:r w:rsidR="00566B83" w:rsidRPr="00774E91">
        <w:rPr>
          <w:rFonts w:ascii="Avenir Next LT Pro" w:hAnsi="Avenir Next LT Pro"/>
          <w:sz w:val="21"/>
          <w:szCs w:val="21"/>
        </w:rPr>
        <w:t>the</w:t>
      </w:r>
      <w:r w:rsidR="00CE1765" w:rsidRPr="00CE1765">
        <w:rPr>
          <w:rFonts w:ascii="Avenir Next LT Pro" w:hAnsi="Avenir Next LT Pro"/>
          <w:sz w:val="21"/>
          <w:szCs w:val="21"/>
        </w:rPr>
        <w:t xml:space="preserve"> </w:t>
      </w:r>
      <w:r w:rsidR="00CE1765">
        <w:rPr>
          <w:rFonts w:ascii="Avenir Next LT Pro" w:hAnsi="Avenir Next LT Pro"/>
          <w:sz w:val="21"/>
          <w:szCs w:val="21"/>
        </w:rPr>
        <w:t>p</w:t>
      </w:r>
      <w:r w:rsidR="00CE1765" w:rsidRPr="00CE1765">
        <w:rPr>
          <w:rFonts w:ascii="Avenir Next LT Pro" w:hAnsi="Avenir Next LT Pro"/>
          <w:sz w:val="21"/>
          <w:szCs w:val="21"/>
        </w:rPr>
        <w:t xml:space="preserve">roposed 2022 TMO Work and Financial Plan to the Department of Environment and Natural Resources (DENR) </w:t>
      </w:r>
      <w:r w:rsidR="00CE1765">
        <w:rPr>
          <w:rFonts w:ascii="Avenir Next LT Pro" w:hAnsi="Avenir Next LT Pro"/>
          <w:sz w:val="21"/>
          <w:szCs w:val="21"/>
        </w:rPr>
        <w:t>a</w:t>
      </w:r>
      <w:r w:rsidR="00CE1765" w:rsidRPr="00CE1765">
        <w:rPr>
          <w:rFonts w:ascii="Avenir Next LT Pro" w:hAnsi="Avenir Next LT Pro"/>
          <w:sz w:val="21"/>
          <w:szCs w:val="21"/>
        </w:rPr>
        <w:t>mounting to Five Million Eighty-One Thousand Pesos (</w:t>
      </w:r>
      <w:r w:rsidR="00CE1765" w:rsidRPr="00CE1765">
        <w:rPr>
          <w:rFonts w:ascii="Arial" w:hAnsi="Arial" w:cs="Arial"/>
          <w:sz w:val="21"/>
          <w:szCs w:val="21"/>
        </w:rPr>
        <w:t>₱</w:t>
      </w:r>
      <w:r w:rsidR="00CE1765" w:rsidRPr="00CE1765">
        <w:rPr>
          <w:rFonts w:ascii="Avenir Next LT Pro" w:hAnsi="Avenir Next LT Pro"/>
          <w:sz w:val="21"/>
          <w:szCs w:val="21"/>
        </w:rPr>
        <w:t>5,081,000.00)</w:t>
      </w:r>
      <w:r w:rsidR="00CE1765">
        <w:rPr>
          <w:rFonts w:ascii="Avenir Next LT Pro" w:hAnsi="Avenir Next LT Pro"/>
          <w:sz w:val="21"/>
          <w:szCs w:val="21"/>
        </w:rPr>
        <w:t>;</w:t>
      </w:r>
    </w:p>
    <w:p w14:paraId="06BA5FFA" w14:textId="77777777" w:rsidR="006711E2" w:rsidRPr="00774E91" w:rsidRDefault="006711E2" w:rsidP="00ED261D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4E70F0B7" w14:textId="3A48305A" w:rsidR="00AB1978" w:rsidRPr="00774E91" w:rsidRDefault="00AB1978" w:rsidP="00ED261D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RESOLVED FINALLY,</w:t>
      </w:r>
      <w:r w:rsidRPr="00774E91">
        <w:rPr>
          <w:rFonts w:ascii="Avenir Next LT Pro" w:hAnsi="Avenir Next LT Pro"/>
          <w:sz w:val="21"/>
          <w:szCs w:val="21"/>
        </w:rPr>
        <w:t xml:space="preserve"> that a copy of </w:t>
      </w:r>
      <w:r w:rsidR="00CE1765">
        <w:rPr>
          <w:rFonts w:ascii="Avenir Next LT Pro" w:hAnsi="Avenir Next LT Pro"/>
          <w:sz w:val="21"/>
          <w:szCs w:val="21"/>
        </w:rPr>
        <w:t>Resolution be provided to the Palawan Provincial Environment and Natural Resources Office</w:t>
      </w:r>
      <w:r w:rsidRPr="00774E91">
        <w:rPr>
          <w:rFonts w:ascii="Avenir Next LT Pro" w:hAnsi="Avenir Next LT Pro"/>
          <w:sz w:val="21"/>
          <w:szCs w:val="21"/>
        </w:rPr>
        <w:t xml:space="preserve"> </w:t>
      </w:r>
      <w:r w:rsidR="00CE1765">
        <w:rPr>
          <w:rFonts w:ascii="Avenir Next LT Pro" w:hAnsi="Avenir Next LT Pro"/>
          <w:sz w:val="21"/>
          <w:szCs w:val="21"/>
        </w:rPr>
        <w:t>for reference.</w:t>
      </w:r>
    </w:p>
    <w:p w14:paraId="7AA2FE71" w14:textId="5A08200C" w:rsidR="00566B83" w:rsidRPr="00774E91" w:rsidRDefault="00566B83" w:rsidP="000779F1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7DA68F0D" w14:textId="5D78A866" w:rsidR="005E3F11" w:rsidRPr="00774E91" w:rsidRDefault="005E3F11" w:rsidP="005E3F11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b/>
          <w:bCs/>
          <w:sz w:val="21"/>
          <w:szCs w:val="21"/>
        </w:rPr>
        <w:t>ADOPTED AND APPROVED</w:t>
      </w:r>
      <w:r w:rsidRPr="00774E91">
        <w:rPr>
          <w:rFonts w:ascii="Avenir Next LT Pro" w:hAnsi="Avenir Next LT Pro"/>
          <w:sz w:val="21"/>
          <w:szCs w:val="21"/>
        </w:rPr>
        <w:t xml:space="preserve"> this </w:t>
      </w:r>
      <w:r w:rsidR="006711E2" w:rsidRPr="00774E91">
        <w:rPr>
          <w:rFonts w:ascii="Avenir Next LT Pro" w:hAnsi="Avenir Next LT Pro"/>
          <w:sz w:val="21"/>
          <w:szCs w:val="21"/>
        </w:rPr>
        <w:t>30</w:t>
      </w:r>
      <w:r w:rsidRPr="00774E91">
        <w:rPr>
          <w:rFonts w:ascii="Avenir Next LT Pro" w:hAnsi="Avenir Next LT Pro"/>
          <w:sz w:val="21"/>
          <w:szCs w:val="21"/>
        </w:rPr>
        <w:t xml:space="preserve">th day of </w:t>
      </w:r>
      <w:r w:rsidR="006711E2" w:rsidRPr="00774E91">
        <w:rPr>
          <w:rFonts w:ascii="Avenir Next LT Pro" w:hAnsi="Avenir Next LT Pro"/>
          <w:sz w:val="21"/>
          <w:szCs w:val="21"/>
        </w:rPr>
        <w:t>July</w:t>
      </w:r>
      <w:r w:rsidR="00C63D30" w:rsidRPr="00774E91">
        <w:rPr>
          <w:rFonts w:ascii="Avenir Next LT Pro" w:hAnsi="Avenir Next LT Pro"/>
          <w:sz w:val="21"/>
          <w:szCs w:val="21"/>
        </w:rPr>
        <w:t xml:space="preserve"> 202</w:t>
      </w:r>
      <w:r w:rsidR="006711E2" w:rsidRPr="00774E91">
        <w:rPr>
          <w:rFonts w:ascii="Avenir Next LT Pro" w:hAnsi="Avenir Next LT Pro"/>
          <w:sz w:val="21"/>
          <w:szCs w:val="21"/>
        </w:rPr>
        <w:t>1</w:t>
      </w:r>
      <w:r w:rsidRPr="00774E91">
        <w:rPr>
          <w:rFonts w:ascii="Avenir Next LT Pro" w:hAnsi="Avenir Next LT Pro"/>
          <w:sz w:val="21"/>
          <w:szCs w:val="21"/>
        </w:rPr>
        <w:t xml:space="preserve"> at Puerto </w:t>
      </w:r>
      <w:proofErr w:type="spellStart"/>
      <w:r w:rsidRPr="00774E91">
        <w:rPr>
          <w:rFonts w:ascii="Avenir Next LT Pro" w:hAnsi="Avenir Next LT Pro"/>
          <w:sz w:val="21"/>
          <w:szCs w:val="21"/>
        </w:rPr>
        <w:t>Princesa</w:t>
      </w:r>
      <w:proofErr w:type="spellEnd"/>
      <w:r w:rsidRPr="00774E91">
        <w:rPr>
          <w:rFonts w:ascii="Avenir Next LT Pro" w:hAnsi="Avenir Next LT Pro"/>
          <w:sz w:val="21"/>
          <w:szCs w:val="21"/>
        </w:rPr>
        <w:t xml:space="preserve"> City.</w:t>
      </w:r>
    </w:p>
    <w:p w14:paraId="0000001C" w14:textId="78BB57DB" w:rsidR="00080287" w:rsidRPr="00774E91" w:rsidRDefault="00F15B2B" w:rsidP="00C514DC">
      <w:pPr>
        <w:spacing w:after="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>---------------------------------------------------------------------------------------------------------------------------------</w:t>
      </w:r>
    </w:p>
    <w:p w14:paraId="21537502" w14:textId="77777777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>I hereby certify to the correctness and accuracy of the above – quoted resolution.</w:t>
      </w:r>
    </w:p>
    <w:bookmarkEnd w:id="2"/>
    <w:p w14:paraId="19BC9CC7" w14:textId="77777777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73D749F8" w14:textId="77777777" w:rsidR="005A5B10" w:rsidRPr="00774E91" w:rsidRDefault="005A5B10" w:rsidP="005A5B10">
      <w:pPr>
        <w:spacing w:after="0"/>
        <w:ind w:left="4320" w:firstLine="72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>Prepared by:</w:t>
      </w:r>
    </w:p>
    <w:p w14:paraId="253D9A78" w14:textId="77777777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475BAC4F" w14:textId="77777777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22EE2DD0" w14:textId="59F60678" w:rsidR="005A5B10" w:rsidRPr="00774E91" w:rsidRDefault="005A5B10" w:rsidP="005A5B10">
      <w:pPr>
        <w:spacing w:after="0"/>
        <w:rPr>
          <w:rFonts w:ascii="Avenir Next LT Pro" w:hAnsi="Avenir Next LT Pro"/>
          <w:b/>
          <w:bCs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 xml:space="preserve">    </w:t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  <w:t xml:space="preserve"> </w:t>
      </w:r>
      <w:r w:rsidRPr="00774E91">
        <w:rPr>
          <w:rFonts w:ascii="Avenir Next LT Pro" w:hAnsi="Avenir Next LT Pro"/>
          <w:b/>
          <w:bCs/>
          <w:sz w:val="21"/>
          <w:szCs w:val="21"/>
        </w:rPr>
        <w:t>ANGELIQUE M. SONGCO</w:t>
      </w:r>
    </w:p>
    <w:p w14:paraId="2660599C" w14:textId="511513CF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 xml:space="preserve">                </w:t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</w:r>
      <w:r w:rsidRPr="00774E91">
        <w:rPr>
          <w:rFonts w:ascii="Avenir Next LT Pro" w:hAnsi="Avenir Next LT Pro"/>
          <w:sz w:val="21"/>
          <w:szCs w:val="21"/>
        </w:rPr>
        <w:tab/>
        <w:t xml:space="preserve">                </w:t>
      </w:r>
      <w:r w:rsidR="00B549AB" w:rsidRPr="00774E91">
        <w:rPr>
          <w:rFonts w:ascii="Avenir Next LT Pro" w:hAnsi="Avenir Next LT Pro"/>
          <w:sz w:val="21"/>
          <w:szCs w:val="21"/>
        </w:rPr>
        <w:tab/>
        <w:t xml:space="preserve">  </w:t>
      </w:r>
      <w:r w:rsidR="00857581" w:rsidRPr="00774E91">
        <w:rPr>
          <w:rFonts w:ascii="Avenir Next LT Pro" w:hAnsi="Avenir Next LT Pro"/>
          <w:sz w:val="21"/>
          <w:szCs w:val="21"/>
        </w:rPr>
        <w:t xml:space="preserve"> </w:t>
      </w:r>
      <w:r w:rsidRPr="00774E91">
        <w:rPr>
          <w:rFonts w:ascii="Avenir Next LT Pro" w:hAnsi="Avenir Next LT Pro"/>
          <w:sz w:val="21"/>
          <w:szCs w:val="21"/>
        </w:rPr>
        <w:t>Secretary</w:t>
      </w:r>
    </w:p>
    <w:p w14:paraId="595A6F5E" w14:textId="77777777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7D6F3DBD" w14:textId="75FBF7A8" w:rsidR="005A5B10" w:rsidRPr="00774E91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>Attested by:</w:t>
      </w:r>
    </w:p>
    <w:p w14:paraId="66F8B4D1" w14:textId="77777777" w:rsidR="00B549AB" w:rsidRPr="00774E91" w:rsidRDefault="00B549AB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4F6C56AD" w14:textId="43A47E03" w:rsidR="00857581" w:rsidRPr="00774E91" w:rsidRDefault="00857581" w:rsidP="00857581">
      <w:pPr>
        <w:spacing w:after="0"/>
        <w:rPr>
          <w:rFonts w:ascii="Avenir Next LT Pro" w:hAnsi="Avenir Next LT Pro"/>
          <w:sz w:val="21"/>
          <w:szCs w:val="21"/>
        </w:rPr>
      </w:pPr>
      <w:r w:rsidRPr="00774E91">
        <w:rPr>
          <w:rFonts w:ascii="Avenir Next LT Pro" w:hAnsi="Avenir Next LT Pro"/>
          <w:sz w:val="21"/>
          <w:szCs w:val="21"/>
        </w:rPr>
        <w:t xml:space="preserve">           Presiding Officer</w:t>
      </w:r>
    </w:p>
    <w:sectPr w:rsidR="00857581" w:rsidRPr="00774E91" w:rsidSect="0073330C">
      <w:footerReference w:type="default" r:id="rId7"/>
      <w:pgSz w:w="12242" w:h="18722"/>
      <w:pgMar w:top="1440" w:right="1354" w:bottom="1440" w:left="1440" w:header="706" w:footer="70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938C" w14:textId="77777777" w:rsidR="0075780C" w:rsidRDefault="0075780C" w:rsidP="00FE6BF7">
      <w:pPr>
        <w:spacing w:after="0" w:line="240" w:lineRule="auto"/>
      </w:pPr>
      <w:r>
        <w:separator/>
      </w:r>
    </w:p>
  </w:endnote>
  <w:endnote w:type="continuationSeparator" w:id="0">
    <w:p w14:paraId="66FD7CA0" w14:textId="77777777" w:rsidR="0075780C" w:rsidRDefault="0075780C" w:rsidP="00FE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rbel" w:hAnsi="Corbel"/>
        <w:i/>
        <w:iCs/>
        <w:sz w:val="16"/>
        <w:szCs w:val="16"/>
      </w:rPr>
      <w:id w:val="1825706947"/>
      <w:docPartObj>
        <w:docPartGallery w:val="Page Numbers (Bottom of Page)"/>
        <w:docPartUnique/>
      </w:docPartObj>
    </w:sdtPr>
    <w:sdtEndPr/>
    <w:sdtContent>
      <w:sdt>
        <w:sdtPr>
          <w:rPr>
            <w:rFonts w:ascii="Corbel" w:hAnsi="Corbel"/>
            <w:i/>
            <w:iCs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F0E382" w14:textId="651D1A3F" w:rsidR="00FE6BF7" w:rsidRPr="00FE6BF7" w:rsidRDefault="00FE6BF7" w:rsidP="00FE6BF7">
            <w:pPr>
              <w:pStyle w:val="Footer"/>
              <w:rPr>
                <w:rFonts w:ascii="Corbel" w:hAnsi="Corbel"/>
                <w:i/>
                <w:iCs/>
                <w:sz w:val="16"/>
                <w:szCs w:val="16"/>
              </w:rPr>
            </w:pPr>
            <w:r>
              <w:rPr>
                <w:rFonts w:ascii="Corbel" w:hAnsi="Corbel"/>
                <w:i/>
                <w:iCs/>
                <w:sz w:val="16"/>
                <w:szCs w:val="16"/>
              </w:rPr>
              <w:t xml:space="preserve">TPAMB Resolution </w:t>
            </w:r>
            <w:r w:rsidR="00C63D30">
              <w:rPr>
                <w:rFonts w:ascii="Corbel" w:hAnsi="Corbel"/>
                <w:i/>
                <w:iCs/>
                <w:sz w:val="16"/>
                <w:szCs w:val="16"/>
              </w:rPr>
              <w:t>2</w:t>
            </w:r>
            <w:r w:rsidR="00126956">
              <w:rPr>
                <w:rFonts w:ascii="Corbel" w:hAnsi="Corbel"/>
                <w:i/>
                <w:iCs/>
                <w:sz w:val="16"/>
                <w:szCs w:val="16"/>
              </w:rPr>
              <w:t>1-007</w:t>
            </w:r>
            <w:r>
              <w:rPr>
                <w:rFonts w:ascii="Corbel" w:hAnsi="Corbel"/>
                <w:i/>
                <w:iCs/>
                <w:sz w:val="16"/>
                <w:szCs w:val="16"/>
              </w:rPr>
              <w:tab/>
            </w:r>
            <w:r w:rsidR="00535B25">
              <w:rPr>
                <w:rFonts w:ascii="Corbel" w:hAnsi="Corbel"/>
                <w:i/>
                <w:iCs/>
                <w:sz w:val="16"/>
                <w:szCs w:val="16"/>
              </w:rPr>
              <w:tab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t xml:space="preserve">Page 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begin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instrText xml:space="preserve"> PAGE </w:instrTex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separate"/>
            </w:r>
            <w:r w:rsidR="00B27407">
              <w:rPr>
                <w:rFonts w:ascii="Corbel" w:hAnsi="Corbel"/>
                <w:i/>
                <w:iCs/>
                <w:noProof/>
                <w:sz w:val="16"/>
                <w:szCs w:val="16"/>
              </w:rPr>
              <w:t>2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end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t xml:space="preserve"> of 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begin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instrText xml:space="preserve"> NUMPAGES  </w:instrTex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separate"/>
            </w:r>
            <w:r w:rsidR="00B27407">
              <w:rPr>
                <w:rFonts w:ascii="Corbel" w:hAnsi="Corbel"/>
                <w:i/>
                <w:iCs/>
                <w:noProof/>
                <w:sz w:val="16"/>
                <w:szCs w:val="16"/>
              </w:rPr>
              <w:t>2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699DC937" w14:textId="77777777" w:rsidR="00FE6BF7" w:rsidRDefault="00FE6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ACB3" w14:textId="77777777" w:rsidR="0075780C" w:rsidRDefault="0075780C" w:rsidP="00FE6BF7">
      <w:pPr>
        <w:spacing w:after="0" w:line="240" w:lineRule="auto"/>
      </w:pPr>
      <w:r>
        <w:separator/>
      </w:r>
    </w:p>
  </w:footnote>
  <w:footnote w:type="continuationSeparator" w:id="0">
    <w:p w14:paraId="7E856129" w14:textId="77777777" w:rsidR="0075780C" w:rsidRDefault="0075780C" w:rsidP="00FE6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D0771"/>
    <w:multiLevelType w:val="multilevel"/>
    <w:tmpl w:val="534D0771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F691C30"/>
    <w:multiLevelType w:val="hybridMultilevel"/>
    <w:tmpl w:val="94EA7DC8"/>
    <w:lvl w:ilvl="0" w:tplc="6D04CDFA">
      <w:start w:val="29"/>
      <w:numFmt w:val="bullet"/>
      <w:lvlText w:val="-"/>
      <w:lvlJc w:val="left"/>
      <w:pPr>
        <w:ind w:left="720" w:hanging="360"/>
      </w:pPr>
      <w:rPr>
        <w:rFonts w:ascii="Corbel" w:eastAsia="Calibri" w:hAnsi="Corbe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287"/>
    <w:rsid w:val="000025E7"/>
    <w:rsid w:val="0001436B"/>
    <w:rsid w:val="000263F4"/>
    <w:rsid w:val="00027A92"/>
    <w:rsid w:val="000350B7"/>
    <w:rsid w:val="000363D1"/>
    <w:rsid w:val="00057681"/>
    <w:rsid w:val="00074EF9"/>
    <w:rsid w:val="000779F1"/>
    <w:rsid w:val="00080287"/>
    <w:rsid w:val="000A2D45"/>
    <w:rsid w:val="000A5C79"/>
    <w:rsid w:val="000B29A9"/>
    <w:rsid w:val="000E3EEF"/>
    <w:rsid w:val="000F70FD"/>
    <w:rsid w:val="00106DDB"/>
    <w:rsid w:val="00110450"/>
    <w:rsid w:val="00114C40"/>
    <w:rsid w:val="00115340"/>
    <w:rsid w:val="00126956"/>
    <w:rsid w:val="00131EFE"/>
    <w:rsid w:val="001415E2"/>
    <w:rsid w:val="001459B4"/>
    <w:rsid w:val="00157F57"/>
    <w:rsid w:val="001874EB"/>
    <w:rsid w:val="001B6BFB"/>
    <w:rsid w:val="001C13D0"/>
    <w:rsid w:val="001C2E7D"/>
    <w:rsid w:val="001C4F74"/>
    <w:rsid w:val="001C6ADC"/>
    <w:rsid w:val="00233CD2"/>
    <w:rsid w:val="0024063A"/>
    <w:rsid w:val="00247DF3"/>
    <w:rsid w:val="00254E62"/>
    <w:rsid w:val="00271FC1"/>
    <w:rsid w:val="00282D39"/>
    <w:rsid w:val="002918DD"/>
    <w:rsid w:val="00296CC4"/>
    <w:rsid w:val="00297FCA"/>
    <w:rsid w:val="002A6518"/>
    <w:rsid w:val="002B5B2D"/>
    <w:rsid w:val="002B62D0"/>
    <w:rsid w:val="002B6CAE"/>
    <w:rsid w:val="002C01E1"/>
    <w:rsid w:val="002F2960"/>
    <w:rsid w:val="003032DA"/>
    <w:rsid w:val="00315BBA"/>
    <w:rsid w:val="00320736"/>
    <w:rsid w:val="003238BB"/>
    <w:rsid w:val="003256B8"/>
    <w:rsid w:val="00372C0A"/>
    <w:rsid w:val="0038013E"/>
    <w:rsid w:val="003856DE"/>
    <w:rsid w:val="00391CE1"/>
    <w:rsid w:val="0039493B"/>
    <w:rsid w:val="003F2F3B"/>
    <w:rsid w:val="003F6578"/>
    <w:rsid w:val="00440191"/>
    <w:rsid w:val="00445DA3"/>
    <w:rsid w:val="00454DB6"/>
    <w:rsid w:val="004558AC"/>
    <w:rsid w:val="004602C6"/>
    <w:rsid w:val="00471FCF"/>
    <w:rsid w:val="00472FBB"/>
    <w:rsid w:val="00475543"/>
    <w:rsid w:val="00481616"/>
    <w:rsid w:val="00482C12"/>
    <w:rsid w:val="004872B8"/>
    <w:rsid w:val="004B3AC9"/>
    <w:rsid w:val="004F03A9"/>
    <w:rsid w:val="004F45E0"/>
    <w:rsid w:val="005037E3"/>
    <w:rsid w:val="00503AFA"/>
    <w:rsid w:val="00535B25"/>
    <w:rsid w:val="005450E4"/>
    <w:rsid w:val="005521B6"/>
    <w:rsid w:val="00557FF4"/>
    <w:rsid w:val="005652CC"/>
    <w:rsid w:val="00565B1F"/>
    <w:rsid w:val="00566B83"/>
    <w:rsid w:val="0058268C"/>
    <w:rsid w:val="005843FD"/>
    <w:rsid w:val="005A5B10"/>
    <w:rsid w:val="005B7A29"/>
    <w:rsid w:val="005C29BB"/>
    <w:rsid w:val="005E3F11"/>
    <w:rsid w:val="005F0A41"/>
    <w:rsid w:val="00604197"/>
    <w:rsid w:val="00606E60"/>
    <w:rsid w:val="0061228F"/>
    <w:rsid w:val="00657937"/>
    <w:rsid w:val="00662E35"/>
    <w:rsid w:val="006711E2"/>
    <w:rsid w:val="00671963"/>
    <w:rsid w:val="00674976"/>
    <w:rsid w:val="006854CE"/>
    <w:rsid w:val="0069099A"/>
    <w:rsid w:val="00696B47"/>
    <w:rsid w:val="006B4637"/>
    <w:rsid w:val="006B5B0C"/>
    <w:rsid w:val="006C39A8"/>
    <w:rsid w:val="006C62C7"/>
    <w:rsid w:val="006D03B6"/>
    <w:rsid w:val="006D3E88"/>
    <w:rsid w:val="006D696D"/>
    <w:rsid w:val="006E1765"/>
    <w:rsid w:val="006E4E9D"/>
    <w:rsid w:val="006E5ABD"/>
    <w:rsid w:val="006E7000"/>
    <w:rsid w:val="006F47C8"/>
    <w:rsid w:val="007116AE"/>
    <w:rsid w:val="007123BA"/>
    <w:rsid w:val="00713D8B"/>
    <w:rsid w:val="0073330C"/>
    <w:rsid w:val="00734C88"/>
    <w:rsid w:val="007372EE"/>
    <w:rsid w:val="007538C4"/>
    <w:rsid w:val="0075780C"/>
    <w:rsid w:val="00774E91"/>
    <w:rsid w:val="007A2C92"/>
    <w:rsid w:val="007E2F03"/>
    <w:rsid w:val="00800387"/>
    <w:rsid w:val="00814C6F"/>
    <w:rsid w:val="00857581"/>
    <w:rsid w:val="00866BF2"/>
    <w:rsid w:val="00870D9D"/>
    <w:rsid w:val="0088543B"/>
    <w:rsid w:val="008A7795"/>
    <w:rsid w:val="008B5968"/>
    <w:rsid w:val="008C0EA5"/>
    <w:rsid w:val="008E585C"/>
    <w:rsid w:val="00904C75"/>
    <w:rsid w:val="00936DBC"/>
    <w:rsid w:val="00943966"/>
    <w:rsid w:val="009451D6"/>
    <w:rsid w:val="00950780"/>
    <w:rsid w:val="00955E28"/>
    <w:rsid w:val="0097155B"/>
    <w:rsid w:val="00982EC6"/>
    <w:rsid w:val="0099177C"/>
    <w:rsid w:val="00995D5E"/>
    <w:rsid w:val="009C727F"/>
    <w:rsid w:val="009F5BF9"/>
    <w:rsid w:val="00A35250"/>
    <w:rsid w:val="00A42201"/>
    <w:rsid w:val="00A44BA3"/>
    <w:rsid w:val="00A7479D"/>
    <w:rsid w:val="00A83D11"/>
    <w:rsid w:val="00A94FD2"/>
    <w:rsid w:val="00AB1978"/>
    <w:rsid w:val="00AF1C14"/>
    <w:rsid w:val="00AF4B1E"/>
    <w:rsid w:val="00B12BB5"/>
    <w:rsid w:val="00B23B06"/>
    <w:rsid w:val="00B27407"/>
    <w:rsid w:val="00B548A5"/>
    <w:rsid w:val="00B549AB"/>
    <w:rsid w:val="00B56BAC"/>
    <w:rsid w:val="00B62610"/>
    <w:rsid w:val="00B71824"/>
    <w:rsid w:val="00B771FF"/>
    <w:rsid w:val="00B84687"/>
    <w:rsid w:val="00B9150E"/>
    <w:rsid w:val="00B91E25"/>
    <w:rsid w:val="00BB23E0"/>
    <w:rsid w:val="00BC6350"/>
    <w:rsid w:val="00BC79C8"/>
    <w:rsid w:val="00BD05D0"/>
    <w:rsid w:val="00BD504A"/>
    <w:rsid w:val="00C021C3"/>
    <w:rsid w:val="00C36191"/>
    <w:rsid w:val="00C36CB0"/>
    <w:rsid w:val="00C43633"/>
    <w:rsid w:val="00C514DC"/>
    <w:rsid w:val="00C62577"/>
    <w:rsid w:val="00C63D30"/>
    <w:rsid w:val="00CA365A"/>
    <w:rsid w:val="00CA6F42"/>
    <w:rsid w:val="00CC22E5"/>
    <w:rsid w:val="00CC32C8"/>
    <w:rsid w:val="00CC6C9F"/>
    <w:rsid w:val="00CD5E53"/>
    <w:rsid w:val="00CE1765"/>
    <w:rsid w:val="00D22380"/>
    <w:rsid w:val="00D33EE7"/>
    <w:rsid w:val="00D46DB7"/>
    <w:rsid w:val="00D50752"/>
    <w:rsid w:val="00D64992"/>
    <w:rsid w:val="00D8034E"/>
    <w:rsid w:val="00D945B4"/>
    <w:rsid w:val="00DC3379"/>
    <w:rsid w:val="00DD111D"/>
    <w:rsid w:val="00DE5087"/>
    <w:rsid w:val="00DE7BBA"/>
    <w:rsid w:val="00DF6B91"/>
    <w:rsid w:val="00E07698"/>
    <w:rsid w:val="00E15411"/>
    <w:rsid w:val="00E21CF4"/>
    <w:rsid w:val="00E42A68"/>
    <w:rsid w:val="00E53081"/>
    <w:rsid w:val="00E600B1"/>
    <w:rsid w:val="00E72C64"/>
    <w:rsid w:val="00E8052A"/>
    <w:rsid w:val="00EC2829"/>
    <w:rsid w:val="00ED261D"/>
    <w:rsid w:val="00EE361A"/>
    <w:rsid w:val="00EF58A8"/>
    <w:rsid w:val="00F0058E"/>
    <w:rsid w:val="00F02F9C"/>
    <w:rsid w:val="00F15B2B"/>
    <w:rsid w:val="00F24A39"/>
    <w:rsid w:val="00F26620"/>
    <w:rsid w:val="00F31776"/>
    <w:rsid w:val="00F36F21"/>
    <w:rsid w:val="00F45201"/>
    <w:rsid w:val="00F4700B"/>
    <w:rsid w:val="00F70B5F"/>
    <w:rsid w:val="00FA2F5C"/>
    <w:rsid w:val="00FB205B"/>
    <w:rsid w:val="00FB2A02"/>
    <w:rsid w:val="00FB3D9D"/>
    <w:rsid w:val="00FC0FBD"/>
    <w:rsid w:val="00FE05C3"/>
    <w:rsid w:val="00FE11B2"/>
    <w:rsid w:val="00FE6BF7"/>
    <w:rsid w:val="00FF0E21"/>
    <w:rsid w:val="00FF29A8"/>
    <w:rsid w:val="00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115BB"/>
  <w15:docId w15:val="{004E80F6-8867-456E-B461-E796D464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6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F7"/>
  </w:style>
  <w:style w:type="paragraph" w:styleId="Footer">
    <w:name w:val="footer"/>
    <w:basedOn w:val="Normal"/>
    <w:link w:val="FooterChar"/>
    <w:uiPriority w:val="99"/>
    <w:unhideWhenUsed/>
    <w:rsid w:val="00FE6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F7"/>
  </w:style>
  <w:style w:type="paragraph" w:styleId="NoSpacing">
    <w:name w:val="No Spacing"/>
    <w:uiPriority w:val="1"/>
    <w:qFormat/>
    <w:rsid w:val="004558A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5B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1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F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C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66B83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6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Angelique Songco</dc:creator>
  <cp:lastModifiedBy>Allyssa Diana Lois Valenzuela</cp:lastModifiedBy>
  <cp:revision>5</cp:revision>
  <cp:lastPrinted>2020-07-02T01:13:00Z</cp:lastPrinted>
  <dcterms:created xsi:type="dcterms:W3CDTF">2021-07-28T09:20:00Z</dcterms:created>
  <dcterms:modified xsi:type="dcterms:W3CDTF">2021-07-29T07:51:00Z</dcterms:modified>
</cp:coreProperties>
</file>